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Ind w:w="-5" w:type="dxa"/>
        <w:tblLook w:val="04A0" w:firstRow="1" w:lastRow="0" w:firstColumn="1" w:lastColumn="0" w:noHBand="0" w:noVBand="1"/>
      </w:tblPr>
      <w:tblGrid>
        <w:gridCol w:w="2700"/>
        <w:gridCol w:w="6660"/>
      </w:tblGrid>
      <w:tr w:rsidR="00DF087D" w:rsidRPr="00D26E23" w14:paraId="7D8BBD2A" w14:textId="77777777" w:rsidTr="00796F8F">
        <w:trPr>
          <w:trHeight w:val="611"/>
        </w:trPr>
        <w:tc>
          <w:tcPr>
            <w:tcW w:w="2700" w:type="dxa"/>
            <w:vAlign w:val="center"/>
          </w:tcPr>
          <w:p w14:paraId="2662B052" w14:textId="77777777" w:rsidR="00DF087D" w:rsidRPr="00DF087D" w:rsidRDefault="00DF087D" w:rsidP="00796F8F">
            <w:pPr>
              <w:pStyle w:val="BodyTextIndent"/>
              <w:ind w:left="0"/>
              <w:jc w:val="right"/>
              <w:rPr>
                <w:b/>
                <w:szCs w:val="22"/>
              </w:rPr>
            </w:pPr>
            <w:r w:rsidRPr="00DF087D">
              <w:rPr>
                <w:b/>
                <w:szCs w:val="22"/>
              </w:rPr>
              <w:t>TITLE:</w:t>
            </w:r>
          </w:p>
        </w:tc>
        <w:tc>
          <w:tcPr>
            <w:tcW w:w="6660" w:type="dxa"/>
            <w:vAlign w:val="center"/>
          </w:tcPr>
          <w:p w14:paraId="3313114E" w14:textId="77777777" w:rsidR="00DF087D" w:rsidRPr="00DF087D" w:rsidRDefault="00DF087D" w:rsidP="00796F8F">
            <w:pPr>
              <w:pStyle w:val="BodyTextIndent"/>
              <w:ind w:left="0"/>
              <w:rPr>
                <w:b/>
                <w:szCs w:val="22"/>
              </w:rPr>
            </w:pPr>
            <w:r w:rsidRPr="00DF087D">
              <w:rPr>
                <w:b/>
              </w:rPr>
              <w:t>Ammonia-Nitrogen – Ion Selective Electrode Method</w:t>
            </w:r>
          </w:p>
        </w:tc>
      </w:tr>
      <w:tr w:rsidR="00DF087D" w:rsidRPr="00D26E23" w14:paraId="0EF8C785" w14:textId="77777777" w:rsidTr="00796F8F">
        <w:trPr>
          <w:trHeight w:val="440"/>
        </w:trPr>
        <w:tc>
          <w:tcPr>
            <w:tcW w:w="2700" w:type="dxa"/>
            <w:vAlign w:val="center"/>
          </w:tcPr>
          <w:p w14:paraId="74E500AC" w14:textId="77777777" w:rsidR="00DF087D" w:rsidRPr="00DF087D" w:rsidRDefault="00DF087D" w:rsidP="00796F8F">
            <w:pPr>
              <w:pStyle w:val="BodyTextIndent"/>
              <w:ind w:left="0"/>
              <w:jc w:val="right"/>
              <w:rPr>
                <w:b/>
                <w:szCs w:val="22"/>
              </w:rPr>
            </w:pPr>
            <w:r w:rsidRPr="00DF087D">
              <w:rPr>
                <w:b/>
                <w:szCs w:val="22"/>
              </w:rPr>
              <w:t>ANALYTE:</w:t>
            </w:r>
          </w:p>
        </w:tc>
        <w:tc>
          <w:tcPr>
            <w:tcW w:w="6660" w:type="dxa"/>
            <w:vAlign w:val="center"/>
          </w:tcPr>
          <w:p w14:paraId="1057AF9D" w14:textId="77777777" w:rsidR="00DF087D" w:rsidRPr="00DF087D" w:rsidRDefault="00DF087D" w:rsidP="00796F8F">
            <w:pPr>
              <w:pStyle w:val="BodyTextIndent"/>
              <w:ind w:left="0"/>
              <w:rPr>
                <w:b/>
                <w:szCs w:val="22"/>
              </w:rPr>
            </w:pPr>
            <w:r w:rsidRPr="00DF087D">
              <w:rPr>
                <w:b/>
              </w:rPr>
              <w:t>Ammonia Nitrogen (NH</w:t>
            </w:r>
            <w:r w:rsidRPr="00DF087D">
              <w:rPr>
                <w:b/>
                <w:vertAlign w:val="subscript"/>
              </w:rPr>
              <w:t>3</w:t>
            </w:r>
            <w:r w:rsidRPr="00DF087D">
              <w:rPr>
                <w:b/>
              </w:rPr>
              <w:t>-N)</w:t>
            </w:r>
          </w:p>
        </w:tc>
      </w:tr>
      <w:tr w:rsidR="00DF087D" w:rsidRPr="00D26E23" w14:paraId="00B78704" w14:textId="77777777" w:rsidTr="00796F8F">
        <w:trPr>
          <w:trHeight w:val="440"/>
        </w:trPr>
        <w:tc>
          <w:tcPr>
            <w:tcW w:w="2700" w:type="dxa"/>
            <w:vAlign w:val="center"/>
          </w:tcPr>
          <w:p w14:paraId="790AF69B" w14:textId="77777777" w:rsidR="00DF087D" w:rsidRPr="00DF087D" w:rsidRDefault="00DF087D" w:rsidP="00796F8F">
            <w:pPr>
              <w:pStyle w:val="BodyTextIndent"/>
              <w:ind w:left="0"/>
              <w:jc w:val="right"/>
              <w:rPr>
                <w:b/>
                <w:szCs w:val="22"/>
              </w:rPr>
            </w:pPr>
            <w:r w:rsidRPr="00DF087D">
              <w:rPr>
                <w:b/>
                <w:szCs w:val="22"/>
              </w:rPr>
              <w:t>FACILITY:</w:t>
            </w:r>
          </w:p>
        </w:tc>
        <w:tc>
          <w:tcPr>
            <w:tcW w:w="6660" w:type="dxa"/>
            <w:vAlign w:val="center"/>
          </w:tcPr>
          <w:p w14:paraId="34A3887A" w14:textId="77777777" w:rsidR="00DF087D" w:rsidRPr="00DF087D" w:rsidRDefault="00DF087D" w:rsidP="00796F8F">
            <w:pPr>
              <w:pStyle w:val="BodyTextIndent"/>
              <w:ind w:left="0"/>
              <w:rPr>
                <w:b/>
                <w:szCs w:val="22"/>
              </w:rPr>
            </w:pPr>
            <w:r w:rsidRPr="00DF087D">
              <w:rPr>
                <w:b/>
                <w:szCs w:val="22"/>
              </w:rPr>
              <w:t>Acme WWTP</w:t>
            </w:r>
          </w:p>
        </w:tc>
      </w:tr>
      <w:tr w:rsidR="00DF087D" w:rsidRPr="00D26E23" w14:paraId="7EF8D962" w14:textId="77777777" w:rsidTr="00796F8F">
        <w:trPr>
          <w:trHeight w:val="449"/>
        </w:trPr>
        <w:tc>
          <w:tcPr>
            <w:tcW w:w="2700" w:type="dxa"/>
            <w:vAlign w:val="center"/>
          </w:tcPr>
          <w:p w14:paraId="1BC35E00" w14:textId="77777777" w:rsidR="00DF087D" w:rsidRPr="00DF087D" w:rsidRDefault="00DF087D" w:rsidP="00796F8F">
            <w:pPr>
              <w:pStyle w:val="BodyTextIndent"/>
              <w:ind w:left="0"/>
              <w:jc w:val="right"/>
              <w:rPr>
                <w:b/>
                <w:szCs w:val="22"/>
              </w:rPr>
            </w:pPr>
            <w:r w:rsidRPr="00DF087D">
              <w:rPr>
                <w:b/>
                <w:szCs w:val="22"/>
              </w:rPr>
              <w:t>REFERENCE METHOD:</w:t>
            </w:r>
          </w:p>
        </w:tc>
        <w:tc>
          <w:tcPr>
            <w:tcW w:w="6660" w:type="dxa"/>
            <w:vAlign w:val="center"/>
          </w:tcPr>
          <w:p w14:paraId="30F9ECA9" w14:textId="77777777" w:rsidR="00DF087D" w:rsidRPr="00DF087D" w:rsidRDefault="00DF087D" w:rsidP="00796F8F">
            <w:pPr>
              <w:pStyle w:val="BodyTextIndent"/>
              <w:ind w:left="0"/>
              <w:rPr>
                <w:b/>
                <w:szCs w:val="22"/>
              </w:rPr>
            </w:pPr>
            <w:r w:rsidRPr="00DF087D">
              <w:rPr>
                <w:b/>
                <w:szCs w:val="22"/>
                <w:u w:val="single"/>
              </w:rPr>
              <w:t>Standard Methods</w:t>
            </w:r>
            <w:r w:rsidRPr="00DF087D">
              <w:rPr>
                <w:b/>
                <w:szCs w:val="22"/>
              </w:rPr>
              <w:t xml:space="preserve"> </w:t>
            </w:r>
            <w:r w:rsidRPr="00DF087D">
              <w:rPr>
                <w:b/>
                <w:bCs/>
              </w:rPr>
              <w:t>4500-NH</w:t>
            </w:r>
            <w:r w:rsidRPr="00DF087D">
              <w:rPr>
                <w:b/>
                <w:bCs/>
                <w:vertAlign w:val="subscript"/>
              </w:rPr>
              <w:t>3</w:t>
            </w:r>
            <w:r w:rsidRPr="00DF087D">
              <w:rPr>
                <w:b/>
                <w:bCs/>
              </w:rPr>
              <w:t xml:space="preserve"> </w:t>
            </w:r>
            <w:r w:rsidR="00D23999">
              <w:rPr>
                <w:b/>
                <w:bCs/>
              </w:rPr>
              <w:t xml:space="preserve">D </w:t>
            </w:r>
            <w:r w:rsidR="00B85C1A" w:rsidRPr="00DF087D">
              <w:rPr>
                <w:b/>
              </w:rPr>
              <w:t>–</w:t>
            </w:r>
            <w:r w:rsidRPr="00DF087D">
              <w:rPr>
                <w:b/>
                <w:bCs/>
              </w:rPr>
              <w:t xml:space="preserve"> 1997</w:t>
            </w:r>
          </w:p>
        </w:tc>
      </w:tr>
      <w:tr w:rsidR="00DF087D" w:rsidRPr="00D26E23" w14:paraId="5A2CB6B1" w14:textId="77777777" w:rsidTr="00796F8F">
        <w:trPr>
          <w:trHeight w:val="521"/>
        </w:trPr>
        <w:tc>
          <w:tcPr>
            <w:tcW w:w="2700" w:type="dxa"/>
            <w:vAlign w:val="center"/>
          </w:tcPr>
          <w:p w14:paraId="2BB87FD3" w14:textId="77777777" w:rsidR="00DF087D" w:rsidRPr="00D26E23" w:rsidRDefault="00DF087D" w:rsidP="00796F8F">
            <w:pPr>
              <w:pStyle w:val="BodyTextIndent"/>
              <w:ind w:left="0"/>
              <w:jc w:val="right"/>
              <w:rPr>
                <w:b/>
                <w:szCs w:val="22"/>
              </w:rPr>
            </w:pPr>
            <w:r w:rsidRPr="00D26E23">
              <w:rPr>
                <w:b/>
                <w:szCs w:val="22"/>
              </w:rPr>
              <w:t>DATE OF ISSUE:</w:t>
            </w:r>
          </w:p>
        </w:tc>
        <w:tc>
          <w:tcPr>
            <w:tcW w:w="6660" w:type="dxa"/>
            <w:vAlign w:val="center"/>
          </w:tcPr>
          <w:p w14:paraId="600C7D38" w14:textId="77777777" w:rsidR="00DF087D" w:rsidRPr="00D26E23" w:rsidRDefault="00DF087D" w:rsidP="00796F8F">
            <w:pPr>
              <w:pStyle w:val="BodyTextIndent"/>
              <w:ind w:left="0"/>
              <w:rPr>
                <w:b/>
                <w:szCs w:val="22"/>
              </w:rPr>
            </w:pPr>
            <w:r w:rsidRPr="00D26E23">
              <w:rPr>
                <w:b/>
                <w:szCs w:val="22"/>
              </w:rPr>
              <w:t>7/18/18</w:t>
            </w:r>
          </w:p>
        </w:tc>
      </w:tr>
    </w:tbl>
    <w:p w14:paraId="00698CFB" w14:textId="77777777" w:rsidR="002B4857" w:rsidRDefault="002B4857" w:rsidP="002B4857">
      <w:pPr>
        <w:pStyle w:val="10SOP"/>
        <w:numPr>
          <w:ilvl w:val="0"/>
          <w:numId w:val="0"/>
        </w:numPr>
        <w:ind w:left="720"/>
      </w:pPr>
    </w:p>
    <w:p w14:paraId="6C522324" w14:textId="77777777" w:rsidR="00F609CE" w:rsidRDefault="00F609CE" w:rsidP="00F609CE">
      <w:pPr>
        <w:pStyle w:val="10SOP"/>
      </w:pPr>
      <w:r>
        <w:t>Applicable Matrices</w:t>
      </w:r>
    </w:p>
    <w:p w14:paraId="261B117E" w14:textId="77777777" w:rsidR="00F609CE" w:rsidRDefault="00CB6F57" w:rsidP="00F609CE">
      <w:pPr>
        <w:pStyle w:val="11SOP"/>
      </w:pPr>
      <w:r>
        <w:t xml:space="preserve">This method is applicable to </w:t>
      </w:r>
      <w:r w:rsidR="00E120A0">
        <w:t xml:space="preserve">the determination of ammonia in </w:t>
      </w:r>
      <w:r w:rsidR="00A31E45">
        <w:t xml:space="preserve">drinking water, surface water, and </w:t>
      </w:r>
      <w:r w:rsidR="00E120A0">
        <w:t>domestic and industrial waste</w:t>
      </w:r>
      <w:r w:rsidR="00A31E45">
        <w:t xml:space="preserve"> matrices</w:t>
      </w:r>
      <w:r>
        <w:t>.</w:t>
      </w:r>
    </w:p>
    <w:p w14:paraId="777AE8E9" w14:textId="77777777" w:rsidR="00FC78FF" w:rsidRDefault="00FC78FF" w:rsidP="00FC78FF">
      <w:pPr>
        <w:pStyle w:val="10SOP"/>
      </w:pPr>
      <w:r>
        <w:t>Summary of the Test Method</w:t>
      </w:r>
    </w:p>
    <w:p w14:paraId="41462031" w14:textId="77777777" w:rsidR="00FC78FF" w:rsidRPr="002D27CF" w:rsidRDefault="001A5BDD" w:rsidP="00FC78FF">
      <w:pPr>
        <w:pStyle w:val="11SOP"/>
      </w:pPr>
      <w:r w:rsidRPr="001A5BDD">
        <w:rPr>
          <w:rFonts w:cs="Arial"/>
          <w:bCs/>
          <w:szCs w:val="22"/>
        </w:rPr>
        <w:t>The ammonia-selective electrode uses a hydrophobic gas-permeable membrane to separate the sample solution from an electrode internal solution of ammonium chloride. Dissolved ammonia (NH</w:t>
      </w:r>
      <w:r w:rsidRPr="001A5BDD">
        <w:rPr>
          <w:rFonts w:cs="Arial"/>
          <w:bCs/>
          <w:szCs w:val="22"/>
          <w:vertAlign w:val="subscript"/>
        </w:rPr>
        <w:t>3</w:t>
      </w:r>
      <w:r w:rsidRPr="006E1C19">
        <w:rPr>
          <w:rFonts w:cs="Arial"/>
          <w:bCs/>
          <w:szCs w:val="22"/>
          <w:vertAlign w:val="subscript"/>
        </w:rPr>
        <w:t xml:space="preserve">(aq) </w:t>
      </w:r>
      <w:r w:rsidRPr="001A5BDD">
        <w:rPr>
          <w:rFonts w:cs="Arial"/>
          <w:bCs/>
          <w:szCs w:val="22"/>
        </w:rPr>
        <w:t>and NH</w:t>
      </w:r>
      <w:r w:rsidRPr="001A5BDD">
        <w:rPr>
          <w:rFonts w:cs="Arial"/>
          <w:bCs/>
          <w:szCs w:val="22"/>
          <w:vertAlign w:val="subscript"/>
        </w:rPr>
        <w:t>4</w:t>
      </w:r>
      <w:r w:rsidR="006E1C19">
        <w:rPr>
          <w:rFonts w:cs="Arial"/>
          <w:bCs/>
          <w:szCs w:val="22"/>
          <w:vertAlign w:val="superscript"/>
        </w:rPr>
        <w:t>+</w:t>
      </w:r>
      <w:r w:rsidRPr="006E1C19">
        <w:rPr>
          <w:rFonts w:cs="Arial"/>
          <w:bCs/>
          <w:szCs w:val="22"/>
          <w:vertAlign w:val="subscript"/>
        </w:rPr>
        <w:t>(g)</w:t>
      </w:r>
      <w:r w:rsidRPr="001A5BDD">
        <w:rPr>
          <w:rFonts w:cs="Arial"/>
          <w:bCs/>
          <w:szCs w:val="22"/>
        </w:rPr>
        <w:t>) is converted to NH</w:t>
      </w:r>
      <w:r w:rsidRPr="001A5BDD">
        <w:rPr>
          <w:rFonts w:cs="Arial"/>
          <w:bCs/>
          <w:szCs w:val="22"/>
          <w:vertAlign w:val="subscript"/>
        </w:rPr>
        <w:t>3</w:t>
      </w:r>
      <w:r w:rsidRPr="006E1C19">
        <w:rPr>
          <w:rFonts w:cs="Arial"/>
          <w:bCs/>
          <w:szCs w:val="22"/>
          <w:vertAlign w:val="subscript"/>
        </w:rPr>
        <w:t>(aq)</w:t>
      </w:r>
      <w:r w:rsidRPr="001A5BDD">
        <w:rPr>
          <w:rFonts w:cs="Arial"/>
          <w:bCs/>
          <w:szCs w:val="22"/>
        </w:rPr>
        <w:t xml:space="preserve"> by raising </w:t>
      </w:r>
      <w:r w:rsidR="006E1C19">
        <w:rPr>
          <w:rFonts w:cs="Arial"/>
          <w:bCs/>
          <w:szCs w:val="22"/>
        </w:rPr>
        <w:t xml:space="preserve">the </w:t>
      </w:r>
      <w:r w:rsidRPr="001A5BDD">
        <w:rPr>
          <w:rFonts w:cs="Arial"/>
          <w:bCs/>
          <w:szCs w:val="22"/>
        </w:rPr>
        <w:t>pH to above 11 with a strong base. NH</w:t>
      </w:r>
      <w:r w:rsidRPr="001A5BDD">
        <w:rPr>
          <w:rFonts w:cs="Arial"/>
          <w:bCs/>
          <w:szCs w:val="22"/>
          <w:vertAlign w:val="subscript"/>
        </w:rPr>
        <w:t>3</w:t>
      </w:r>
      <w:r w:rsidRPr="006E1C19">
        <w:rPr>
          <w:rFonts w:cs="Arial"/>
          <w:bCs/>
          <w:szCs w:val="22"/>
          <w:vertAlign w:val="subscript"/>
        </w:rPr>
        <w:t>(aq)</w:t>
      </w:r>
      <w:r w:rsidRPr="001A5BDD">
        <w:rPr>
          <w:rFonts w:cs="Arial"/>
          <w:bCs/>
          <w:szCs w:val="22"/>
        </w:rPr>
        <w:t xml:space="preserve"> diffuses through the membrane and changes the internal solution pH that is sensed by a pH electrode. Potentiometric measurements are made with a pH meter having an </w:t>
      </w:r>
      <w:r w:rsidRPr="002D27CF">
        <w:rPr>
          <w:rFonts w:cs="Arial"/>
          <w:bCs/>
          <w:szCs w:val="22"/>
        </w:rPr>
        <w:t>expanded millivolt scale</w:t>
      </w:r>
      <w:r w:rsidR="002823D1" w:rsidRPr="002D27CF">
        <w:t>.</w:t>
      </w:r>
      <w:r w:rsidR="00B17BC7" w:rsidRPr="002D27CF">
        <w:t xml:space="preserve"> </w:t>
      </w:r>
    </w:p>
    <w:p w14:paraId="3A4DC0DB" w14:textId="77777777" w:rsidR="00CC1BE2" w:rsidRPr="002D27CF" w:rsidRDefault="009F5AF7" w:rsidP="00FC78FF">
      <w:pPr>
        <w:pStyle w:val="11SOP"/>
      </w:pPr>
      <w:r>
        <w:t>Data are on file that shows distillation is not required prior to analysis of domestic wastewater effluents using this method.  See references for details.</w:t>
      </w:r>
      <w:r w:rsidR="005666E9">
        <w:t xml:space="preserve"> </w:t>
      </w:r>
      <w:r w:rsidR="005666E9">
        <w:rPr>
          <w:bCs/>
        </w:rPr>
        <w:t xml:space="preserve">All industry samples and influent samples </w:t>
      </w:r>
      <w:r w:rsidR="005666E9" w:rsidRPr="002D27CF">
        <w:rPr>
          <w:bCs/>
        </w:rPr>
        <w:t>must be distilled before analyzing.</w:t>
      </w:r>
      <w:r w:rsidR="005666E9">
        <w:rPr>
          <w:bCs/>
        </w:rPr>
        <w:t xml:space="preserve"> I</w:t>
      </w:r>
      <w:r w:rsidR="005666E9">
        <w:t>f the laboratory has performed a study demonstrating distillation is unnecessary, maintain that data.  THIS SOP IS ONLY FOR SAMPLES NOT REQUIRING DISTILLATION.</w:t>
      </w:r>
    </w:p>
    <w:p w14:paraId="53EC6F38" w14:textId="77777777" w:rsidR="00F609CE" w:rsidRDefault="00F609CE" w:rsidP="00F609CE">
      <w:pPr>
        <w:pStyle w:val="10SOP"/>
      </w:pPr>
      <w:r>
        <w:t>Safety</w:t>
      </w:r>
    </w:p>
    <w:p w14:paraId="30739322" w14:textId="77777777" w:rsidR="00F609CE" w:rsidRDefault="00F609CE" w:rsidP="00F609CE">
      <w:pPr>
        <w:pStyle w:val="11SOP"/>
      </w:pPr>
      <w:r>
        <w:t>Proper personal protection equipment, such as a lab coat, safety glasses, and nitrile gloves should be worn when performing any laboratory test.</w:t>
      </w:r>
    </w:p>
    <w:p w14:paraId="5CE04662" w14:textId="77777777" w:rsidR="00AE6BC8" w:rsidRDefault="00AE6BC8" w:rsidP="00F609CE">
      <w:pPr>
        <w:pStyle w:val="11SOP"/>
      </w:pPr>
      <w:r>
        <w:t>When using acid solutions</w:t>
      </w:r>
      <w:r w:rsidR="00802F73">
        <w:t>,</w:t>
      </w:r>
      <w:r>
        <w:t xml:space="preserve"> wear </w:t>
      </w:r>
      <w:r w:rsidR="00802F73">
        <w:t xml:space="preserve">appropriate protective clothing: </w:t>
      </w:r>
      <w:r>
        <w:t xml:space="preserve"> rubber apron, protective sleeves, gloves, and safety goggles or glasses.</w:t>
      </w:r>
    </w:p>
    <w:p w14:paraId="22F8FEEF" w14:textId="77777777" w:rsidR="00AE6BC8" w:rsidRDefault="00AE6BC8" w:rsidP="00F609CE">
      <w:pPr>
        <w:pStyle w:val="11SOP"/>
      </w:pPr>
      <w:r>
        <w:t>Always have adequate ventilation when working with acids, bases</w:t>
      </w:r>
      <w:r w:rsidR="00802F73">
        <w:t>,</w:t>
      </w:r>
      <w:r>
        <w:t xml:space="preserve"> and solvents to minimize exposure to vapors.</w:t>
      </w:r>
    </w:p>
    <w:p w14:paraId="4558EECA" w14:textId="77777777" w:rsidR="00AE6BC8" w:rsidRDefault="00AE6BC8" w:rsidP="00AE6BC8">
      <w:pPr>
        <w:pStyle w:val="11SOP"/>
      </w:pPr>
      <w:r>
        <w:t xml:space="preserve">Refer to </w:t>
      </w:r>
      <w:r w:rsidR="00802F73">
        <w:t xml:space="preserve">the </w:t>
      </w:r>
      <w:r>
        <w:t>Safety Data Sheet for information on a specific chemical.</w:t>
      </w:r>
    </w:p>
    <w:p w14:paraId="7FCD9EA9" w14:textId="77777777" w:rsidR="00F609CE" w:rsidRDefault="00F609CE" w:rsidP="00F609CE">
      <w:pPr>
        <w:pStyle w:val="10SOP"/>
      </w:pPr>
      <w:r>
        <w:t>Equipment and Supplies</w:t>
      </w:r>
    </w:p>
    <w:p w14:paraId="0E4CAD16" w14:textId="77777777" w:rsidR="00B17BC7" w:rsidRPr="00B17BC7" w:rsidRDefault="00280D53" w:rsidP="00B17BC7">
      <w:pPr>
        <w:pStyle w:val="11SOP"/>
      </w:pPr>
      <w:r>
        <w:t>Specific ion meter with a direct concentration readout or a pH meter with an expanded millivolts scale</w:t>
      </w:r>
      <w:r w:rsidR="00D64511">
        <w:t>,</w:t>
      </w:r>
      <w:r w:rsidR="00D64511" w:rsidRPr="00633B14">
        <w:t xml:space="preserve"> ABC Company Model 123</w:t>
      </w:r>
    </w:p>
    <w:p w14:paraId="2E98E9DA" w14:textId="77777777" w:rsidR="006D11E1" w:rsidRDefault="00280D53" w:rsidP="00F609CE">
      <w:pPr>
        <w:pStyle w:val="11SOP"/>
      </w:pPr>
      <w:r>
        <w:t>High</w:t>
      </w:r>
      <w:r w:rsidR="00D64511">
        <w:t xml:space="preserve"> performance probe, </w:t>
      </w:r>
      <w:r w:rsidR="00A05AE2">
        <w:t xml:space="preserve">ABC Company </w:t>
      </w:r>
      <w:r w:rsidR="00D64511">
        <w:t>Model XYZ</w:t>
      </w:r>
    </w:p>
    <w:p w14:paraId="3B502743" w14:textId="77777777" w:rsidR="00280D53" w:rsidRDefault="00280D53" w:rsidP="00F609CE">
      <w:pPr>
        <w:pStyle w:val="11SOP"/>
      </w:pPr>
      <w:r w:rsidRPr="00BB1525">
        <w:t>Class</w:t>
      </w:r>
      <w:r w:rsidRPr="00B17BC7">
        <w:t xml:space="preserve"> A pipets</w:t>
      </w:r>
      <w:r>
        <w:t xml:space="preserve"> or verified mechanical pipettors</w:t>
      </w:r>
    </w:p>
    <w:p w14:paraId="0CFF11BB" w14:textId="77777777" w:rsidR="00F66479" w:rsidRDefault="006D11E1" w:rsidP="00F609CE">
      <w:pPr>
        <w:pStyle w:val="11SOP"/>
      </w:pPr>
      <w:r>
        <w:lastRenderedPageBreak/>
        <w:t>Acid-rinsed glassware:  graduated</w:t>
      </w:r>
      <w:r w:rsidR="00452C4F">
        <w:t xml:space="preserve"> c</w:t>
      </w:r>
      <w:r>
        <w:t>ylinders</w:t>
      </w:r>
      <w:r w:rsidR="00280D53">
        <w:t>,</w:t>
      </w:r>
      <w:r w:rsidR="00B17BC7" w:rsidRPr="00B17BC7">
        <w:t xml:space="preserve"> volumetric flasks</w:t>
      </w:r>
      <w:r w:rsidR="00280D53">
        <w:t>, beakers</w:t>
      </w:r>
    </w:p>
    <w:p w14:paraId="3057E4FD" w14:textId="77777777" w:rsidR="00280D53" w:rsidRDefault="00280D53" w:rsidP="00280D53">
      <w:pPr>
        <w:pStyle w:val="11SOP"/>
        <w:rPr>
          <w:szCs w:val="22"/>
        </w:rPr>
      </w:pPr>
      <w:bookmarkStart w:id="0" w:name="_Hlk513534823"/>
      <w:r>
        <w:rPr>
          <w:szCs w:val="22"/>
        </w:rPr>
        <w:t>Magnetic stirrer</w:t>
      </w:r>
    </w:p>
    <w:p w14:paraId="36F87E46" w14:textId="77777777" w:rsidR="00280D53" w:rsidRDefault="00280D53" w:rsidP="00280D53">
      <w:pPr>
        <w:pStyle w:val="11SOP"/>
        <w:rPr>
          <w:szCs w:val="22"/>
        </w:rPr>
      </w:pPr>
      <w:r>
        <w:rPr>
          <w:szCs w:val="22"/>
        </w:rPr>
        <w:t xml:space="preserve">Magnetic stir bars </w:t>
      </w:r>
    </w:p>
    <w:p w14:paraId="76111E64" w14:textId="77777777" w:rsidR="00730E97" w:rsidRDefault="00E734A3" w:rsidP="00280D53">
      <w:pPr>
        <w:pStyle w:val="11SOP"/>
        <w:rPr>
          <w:szCs w:val="22"/>
        </w:rPr>
      </w:pPr>
      <w:r w:rsidRPr="00730E97">
        <w:rPr>
          <w:szCs w:val="22"/>
        </w:rPr>
        <w:t>Residual chlorine test strips</w:t>
      </w:r>
      <w:r w:rsidR="00730E97">
        <w:rPr>
          <w:szCs w:val="22"/>
        </w:rPr>
        <w:t xml:space="preserve"> with a</w:t>
      </w:r>
      <w:r w:rsidRPr="00730E97">
        <w:rPr>
          <w:szCs w:val="22"/>
        </w:rPr>
        <w:t xml:space="preserve"> </w:t>
      </w:r>
      <w:r w:rsidR="00730E97" w:rsidRPr="00730E97">
        <w:rPr>
          <w:szCs w:val="22"/>
        </w:rPr>
        <w:t xml:space="preserve">minimum detection capability of 0.1 mg/L </w:t>
      </w:r>
    </w:p>
    <w:p w14:paraId="09C7CFCD" w14:textId="77777777" w:rsidR="009E022E" w:rsidRPr="00730E97" w:rsidRDefault="00730E97" w:rsidP="00280D53">
      <w:pPr>
        <w:pStyle w:val="11SOP"/>
        <w:rPr>
          <w:szCs w:val="22"/>
        </w:rPr>
      </w:pPr>
      <w:r w:rsidRPr="00730E97">
        <w:rPr>
          <w:szCs w:val="22"/>
        </w:rPr>
        <w:t>pH paper, narrow</w:t>
      </w:r>
      <w:r w:rsidR="009E022E" w:rsidRPr="00730E97">
        <w:rPr>
          <w:szCs w:val="22"/>
        </w:rPr>
        <w:t xml:space="preserve"> range (</w:t>
      </w:r>
      <w:r w:rsidR="00CB1954" w:rsidRPr="00730E97">
        <w:rPr>
          <w:szCs w:val="22"/>
        </w:rPr>
        <w:t>0</w:t>
      </w:r>
      <w:r w:rsidR="00F66479" w:rsidRPr="00730E97">
        <w:rPr>
          <w:szCs w:val="22"/>
        </w:rPr>
        <w:t xml:space="preserve"> –</w:t>
      </w:r>
      <w:r w:rsidR="00CB1954" w:rsidRPr="00730E97">
        <w:rPr>
          <w:szCs w:val="22"/>
        </w:rPr>
        <w:t xml:space="preserve"> 6</w:t>
      </w:r>
      <w:r w:rsidR="00F66479" w:rsidRPr="00730E97">
        <w:rPr>
          <w:szCs w:val="22"/>
        </w:rPr>
        <w:t>.0)</w:t>
      </w:r>
      <w:r w:rsidR="00CB1954" w:rsidRPr="00730E97">
        <w:rPr>
          <w:szCs w:val="22"/>
        </w:rPr>
        <w:t>; used to confirm pH of &lt;2 for preservation</w:t>
      </w:r>
    </w:p>
    <w:p w14:paraId="517BAD7C" w14:textId="77777777" w:rsidR="009E022E" w:rsidRDefault="009E022E" w:rsidP="009E022E">
      <w:pPr>
        <w:pStyle w:val="11SOP"/>
        <w:rPr>
          <w:szCs w:val="22"/>
        </w:rPr>
      </w:pPr>
      <w:r w:rsidRPr="00730E97">
        <w:rPr>
          <w:szCs w:val="22"/>
        </w:rPr>
        <w:t xml:space="preserve">pH paper, </w:t>
      </w:r>
      <w:r w:rsidR="00730E97" w:rsidRPr="00730E97">
        <w:rPr>
          <w:szCs w:val="22"/>
        </w:rPr>
        <w:t>narrow</w:t>
      </w:r>
      <w:r w:rsidRPr="00730E97">
        <w:rPr>
          <w:szCs w:val="22"/>
        </w:rPr>
        <w:t xml:space="preserve"> range </w:t>
      </w:r>
      <w:r w:rsidR="00CB1954" w:rsidRPr="00730E97">
        <w:rPr>
          <w:szCs w:val="22"/>
        </w:rPr>
        <w:t>(</w:t>
      </w:r>
      <w:r w:rsidR="00730E97" w:rsidRPr="00730E97">
        <w:rPr>
          <w:szCs w:val="22"/>
        </w:rPr>
        <w:t>9 – 13</w:t>
      </w:r>
      <w:r w:rsidR="00CB1954" w:rsidRPr="00730E97">
        <w:rPr>
          <w:szCs w:val="22"/>
        </w:rPr>
        <w:t xml:space="preserve">); used to confirm samples are </w:t>
      </w:r>
      <w:bookmarkEnd w:id="0"/>
      <w:r w:rsidR="00345E9D" w:rsidRPr="00730E97">
        <w:rPr>
          <w:szCs w:val="22"/>
        </w:rPr>
        <w:t>&gt;</w:t>
      </w:r>
      <w:r w:rsidR="00DB3303" w:rsidRPr="00730E97">
        <w:rPr>
          <w:szCs w:val="22"/>
        </w:rPr>
        <w:t xml:space="preserve">11 pH after </w:t>
      </w:r>
      <w:r w:rsidR="00345E9D" w:rsidRPr="00730E97">
        <w:rPr>
          <w:szCs w:val="22"/>
        </w:rPr>
        <w:t>buffer addition</w:t>
      </w:r>
    </w:p>
    <w:p w14:paraId="10BB48DD" w14:textId="77777777" w:rsidR="00F609CE" w:rsidRDefault="00F609CE" w:rsidP="00F609CE">
      <w:pPr>
        <w:pStyle w:val="10SOP"/>
      </w:pPr>
      <w:r>
        <w:rPr>
          <w:snapToGrid w:val="0"/>
        </w:rPr>
        <w:t>Reagents and Standards</w:t>
      </w:r>
    </w:p>
    <w:p w14:paraId="7BE6FF74" w14:textId="77777777" w:rsidR="00010DFD" w:rsidRDefault="006D0E91" w:rsidP="00280D53">
      <w:pPr>
        <w:pStyle w:val="11SOP"/>
      </w:pPr>
      <w:r>
        <w:t>Distilled</w:t>
      </w:r>
      <w:r w:rsidR="00071D01">
        <w:t xml:space="preserve"> w</w:t>
      </w:r>
      <w:r w:rsidR="00F609CE">
        <w:t>ater</w:t>
      </w:r>
      <w:r w:rsidR="0010386C">
        <w:t>, ammonia-free</w:t>
      </w:r>
    </w:p>
    <w:p w14:paraId="67E2F5AE" w14:textId="77777777" w:rsidR="009F1E74" w:rsidRDefault="009F1E74" w:rsidP="00280D53">
      <w:pPr>
        <w:pStyle w:val="11SOP"/>
      </w:pPr>
      <w:r>
        <w:t xml:space="preserve">Buffer </w:t>
      </w:r>
      <w:r w:rsidR="00071D01">
        <w:t xml:space="preserve">solution </w:t>
      </w:r>
      <w:r>
        <w:t>options:</w:t>
      </w:r>
    </w:p>
    <w:p w14:paraId="08F80DD3" w14:textId="77777777" w:rsidR="009F1E74" w:rsidRDefault="009F1E74" w:rsidP="005D5EEF">
      <w:pPr>
        <w:pStyle w:val="111SOP"/>
        <w:tabs>
          <w:tab w:val="clear" w:pos="2970"/>
          <w:tab w:val="num" w:pos="2430"/>
        </w:tabs>
        <w:ind w:left="2430" w:hanging="990"/>
      </w:pPr>
      <w:r>
        <w:t>NaOH, 10 N</w:t>
      </w:r>
    </w:p>
    <w:p w14:paraId="2F370390" w14:textId="77777777" w:rsidR="0099383B" w:rsidRDefault="0099383B" w:rsidP="005D5EEF">
      <w:pPr>
        <w:pStyle w:val="111SOP"/>
        <w:tabs>
          <w:tab w:val="clear" w:pos="2970"/>
          <w:tab w:val="num" w:pos="2430"/>
        </w:tabs>
        <w:ind w:left="2430" w:hanging="990"/>
      </w:pPr>
      <w:r>
        <w:t>NaOH/EDTA solution, 10 N.  Dissolve 400 g NaOH in 800 mL distilled water.  Add 45.2 g ethylenediaminetetraacetic acid, tetrasodium salt, tetrahydrate (Na</w:t>
      </w:r>
      <w:r w:rsidRPr="0099383B">
        <w:rPr>
          <w:vertAlign w:val="subscript"/>
        </w:rPr>
        <w:t>4</w:t>
      </w:r>
      <w:r>
        <w:t xml:space="preserve">EDTA </w:t>
      </w:r>
      <w:r>
        <w:rPr>
          <w:rFonts w:cs="Arial"/>
        </w:rPr>
        <w:t>•</w:t>
      </w:r>
      <w:r>
        <w:t xml:space="preserve"> 4H</w:t>
      </w:r>
      <w:r w:rsidRPr="0099383B">
        <w:rPr>
          <w:vertAlign w:val="subscript"/>
        </w:rPr>
        <w:t>2</w:t>
      </w:r>
      <w:r>
        <w:t xml:space="preserve">O) and stir to dissolve.  Cool and dilute to 1000 mL. </w:t>
      </w:r>
      <w:r w:rsidR="009F1E74">
        <w:t xml:space="preserve"> This solution may also be commercially purchased.  This solution expires according to manufacturer’s expiration date.</w:t>
      </w:r>
      <w:r>
        <w:t xml:space="preserve"> </w:t>
      </w:r>
      <w:r w:rsidR="00345E9D">
        <w:t>Use this buffer if the samples are suspected to have mercury or silver interferences.</w:t>
      </w:r>
    </w:p>
    <w:p w14:paraId="6C906FB8" w14:textId="77777777" w:rsidR="009F1E74" w:rsidRDefault="009F1E74" w:rsidP="005D5EEF">
      <w:pPr>
        <w:pStyle w:val="111SOP"/>
        <w:tabs>
          <w:tab w:val="clear" w:pos="2970"/>
          <w:tab w:val="num" w:pos="2430"/>
        </w:tabs>
        <w:ind w:left="2430" w:hanging="990"/>
      </w:pPr>
      <w:r>
        <w:t>Color indicating buffer</w:t>
      </w:r>
      <w:r w:rsidR="00605E7E">
        <w:t>; must be compatible with probe</w:t>
      </w:r>
      <w:r w:rsidR="00345E9D">
        <w:t>.  Use this buffer in place of using a pH meter or pH strips to verify the pH is &gt;11 after buffer addition.</w:t>
      </w:r>
    </w:p>
    <w:p w14:paraId="7C1ADFD3" w14:textId="77777777" w:rsidR="00010DFD" w:rsidRPr="00E120A0" w:rsidRDefault="00280D53" w:rsidP="00F609CE">
      <w:pPr>
        <w:pStyle w:val="11SOP"/>
      </w:pPr>
      <w:r>
        <w:t>Ammonia stock standards, 20</w:t>
      </w:r>
      <w:r w:rsidR="00E120A0">
        <w:t xml:space="preserve"> mg/L</w:t>
      </w:r>
      <w:r>
        <w:t>, 2.0 mg/L, and 0.2 mg/L</w:t>
      </w:r>
      <w:r w:rsidR="00E120A0">
        <w:t xml:space="preserve"> NH</w:t>
      </w:r>
      <w:r w:rsidR="00E120A0" w:rsidRPr="00E120A0">
        <w:rPr>
          <w:vertAlign w:val="subscript"/>
        </w:rPr>
        <w:t>3</w:t>
      </w:r>
      <w:r w:rsidR="00E120A0">
        <w:t xml:space="preserve">-N.  </w:t>
      </w:r>
      <w:r w:rsidR="00E120A0" w:rsidRPr="00E120A0">
        <w:t xml:space="preserve">Store </w:t>
      </w:r>
      <w:r w:rsidR="00345E9D">
        <w:t>at</w:t>
      </w:r>
      <w:r w:rsidR="00E120A0" w:rsidRPr="00E120A0">
        <w:t xml:space="preserve"> ≤ 6ºC </w:t>
      </w:r>
      <w:r w:rsidR="00345E9D">
        <w:t>but above freezing</w:t>
      </w:r>
      <w:r>
        <w:t>.  These</w:t>
      </w:r>
      <w:r w:rsidR="00E120A0" w:rsidRPr="00E120A0">
        <w:t xml:space="preserve"> solution</w:t>
      </w:r>
      <w:r>
        <w:t>s</w:t>
      </w:r>
      <w:r w:rsidR="00E120A0" w:rsidRPr="00E120A0">
        <w:t xml:space="preserve"> </w:t>
      </w:r>
      <w:r>
        <w:t>expire</w:t>
      </w:r>
      <w:r w:rsidR="00930A5F">
        <w:t xml:space="preserve"> according to manufacturer’s expiration date</w:t>
      </w:r>
      <w:r w:rsidR="00E120A0" w:rsidRPr="00E120A0">
        <w:t xml:space="preserve">. </w:t>
      </w:r>
    </w:p>
    <w:p w14:paraId="2E0996C4" w14:textId="7AB87974" w:rsidR="00010DFD" w:rsidRPr="00E120A0" w:rsidRDefault="00D64511" w:rsidP="005D5EEF">
      <w:pPr>
        <w:pStyle w:val="111SOP"/>
        <w:tabs>
          <w:tab w:val="clear" w:pos="2970"/>
          <w:tab w:val="num" w:pos="2430"/>
        </w:tabs>
        <w:ind w:left="2430" w:hanging="990"/>
      </w:pPr>
      <w:r>
        <w:t>Alter</w:t>
      </w:r>
      <w:r w:rsidR="00743F40">
        <w:t>natively, these can be prepared.</w:t>
      </w:r>
      <w:r>
        <w:t xml:space="preserve">  </w:t>
      </w:r>
      <w:r w:rsidR="00743F40">
        <w:t>Dry anhydrous ammonium chloride (NH</w:t>
      </w:r>
      <w:r w:rsidR="00743F40" w:rsidRPr="00196529">
        <w:rPr>
          <w:vertAlign w:val="subscript"/>
        </w:rPr>
        <w:t>4</w:t>
      </w:r>
      <w:r w:rsidR="00743F40">
        <w:t xml:space="preserve">Cl) at 100°C for at least 1 hour.  Dissolve </w:t>
      </w:r>
      <w:r w:rsidR="00196529">
        <w:t>0.3</w:t>
      </w:r>
      <w:r w:rsidR="00743F40">
        <w:t>819 g NH</w:t>
      </w:r>
      <w:r w:rsidR="00743F40" w:rsidRPr="00196529">
        <w:rPr>
          <w:vertAlign w:val="subscript"/>
        </w:rPr>
        <w:t>4</w:t>
      </w:r>
      <w:r w:rsidR="00743F40">
        <w:t xml:space="preserve">Cl in water, and dilute to 1000 mL.  This is a </w:t>
      </w:r>
      <w:r w:rsidR="00196529">
        <w:t>100 mg/L NH</w:t>
      </w:r>
      <w:r w:rsidR="00196529" w:rsidRPr="00F06E08">
        <w:rPr>
          <w:vertAlign w:val="subscript"/>
        </w:rPr>
        <w:t>3</w:t>
      </w:r>
      <w:r w:rsidR="00196529">
        <w:t xml:space="preserve"> as N stock solution</w:t>
      </w:r>
      <w:r w:rsidR="00E120A0" w:rsidRPr="00E120A0">
        <w:t>.</w:t>
      </w:r>
      <w:r w:rsidR="00B6563B">
        <w:t xml:space="preserve">  Prepare the 20, 2.0, and 0.2 mg/L standards from this 100 mg/L solution.</w:t>
      </w:r>
    </w:p>
    <w:p w14:paraId="40E9B372" w14:textId="77777777" w:rsidR="00452C4F" w:rsidRPr="001B109B" w:rsidRDefault="00E120A0" w:rsidP="00F609CE">
      <w:pPr>
        <w:pStyle w:val="11SOP"/>
      </w:pPr>
      <w:r w:rsidRPr="00E120A0">
        <w:rPr>
          <w:rFonts w:cs="Arial"/>
          <w:szCs w:val="22"/>
        </w:rPr>
        <w:t>ICV (initial cali</w:t>
      </w:r>
      <w:r w:rsidR="0010386C">
        <w:rPr>
          <w:rFonts w:cs="Arial"/>
          <w:szCs w:val="22"/>
        </w:rPr>
        <w:t>bration verification standard)</w:t>
      </w:r>
      <w:r w:rsidR="00E96440">
        <w:rPr>
          <w:rFonts w:cs="Arial"/>
          <w:szCs w:val="22"/>
        </w:rPr>
        <w:t>/LCS (lab control standard)</w:t>
      </w:r>
      <w:r w:rsidRPr="00E120A0">
        <w:rPr>
          <w:rFonts w:cs="Arial"/>
          <w:szCs w:val="22"/>
        </w:rPr>
        <w:t>, secon</w:t>
      </w:r>
      <w:r w:rsidR="00B91901">
        <w:rPr>
          <w:rFonts w:cs="Arial"/>
          <w:szCs w:val="22"/>
        </w:rPr>
        <w:t>d source ammonia stock standard</w:t>
      </w:r>
      <w:r w:rsidR="00102157">
        <w:rPr>
          <w:rFonts w:cs="Arial"/>
          <w:szCs w:val="22"/>
        </w:rPr>
        <w:t>, 5</w:t>
      </w:r>
      <w:r w:rsidRPr="00E120A0">
        <w:rPr>
          <w:rFonts w:cs="Arial"/>
          <w:szCs w:val="22"/>
        </w:rPr>
        <w:t xml:space="preserve"> mg/L NH</w:t>
      </w:r>
      <w:r w:rsidRPr="00E120A0">
        <w:rPr>
          <w:rFonts w:cs="Arial"/>
          <w:szCs w:val="22"/>
          <w:vertAlign w:val="subscript"/>
        </w:rPr>
        <w:t>3</w:t>
      </w:r>
      <w:r w:rsidRPr="00E120A0">
        <w:rPr>
          <w:rFonts w:cs="Arial"/>
          <w:szCs w:val="22"/>
        </w:rPr>
        <w:t>-N</w:t>
      </w:r>
      <w:r w:rsidR="0010386C">
        <w:rPr>
          <w:rFonts w:cs="Arial"/>
          <w:szCs w:val="22"/>
        </w:rPr>
        <w:t>.</w:t>
      </w:r>
      <w:r w:rsidRPr="00E120A0">
        <w:rPr>
          <w:rFonts w:cs="Arial"/>
          <w:szCs w:val="22"/>
        </w:rPr>
        <w:t xml:space="preserve"> </w:t>
      </w:r>
      <w:r w:rsidR="0010386C">
        <w:rPr>
          <w:rFonts w:cs="Arial"/>
          <w:szCs w:val="22"/>
        </w:rPr>
        <w:t>M</w:t>
      </w:r>
      <w:r w:rsidRPr="00E120A0">
        <w:rPr>
          <w:rFonts w:cs="Arial"/>
          <w:szCs w:val="22"/>
        </w:rPr>
        <w:t>u</w:t>
      </w:r>
      <w:r w:rsidR="0010386C">
        <w:rPr>
          <w:rFonts w:cs="Arial"/>
          <w:szCs w:val="22"/>
        </w:rPr>
        <w:t>st be a lot # different from 5.3. above</w:t>
      </w:r>
      <w:r w:rsidRPr="00E120A0">
        <w:rPr>
          <w:rFonts w:cs="Arial"/>
          <w:szCs w:val="22"/>
        </w:rPr>
        <w:t>.</w:t>
      </w:r>
      <w:r w:rsidR="00266E17">
        <w:rPr>
          <w:rFonts w:cs="Arial"/>
          <w:szCs w:val="22"/>
        </w:rPr>
        <w:t xml:space="preserve"> </w:t>
      </w:r>
      <w:r w:rsidR="00266E17" w:rsidRPr="00E120A0">
        <w:t xml:space="preserve">This solution </w:t>
      </w:r>
      <w:r w:rsidR="00930A5F">
        <w:t>expires according to manufacturer’s expiration date</w:t>
      </w:r>
      <w:r w:rsidR="00266E17">
        <w:t>.</w:t>
      </w:r>
    </w:p>
    <w:p w14:paraId="6095F8E0" w14:textId="77777777" w:rsidR="001B109B" w:rsidRDefault="001B109B" w:rsidP="00F609CE">
      <w:pPr>
        <w:pStyle w:val="11SOP"/>
      </w:pPr>
      <w:r w:rsidRPr="00E96440">
        <w:t>CCV</w:t>
      </w:r>
      <w:r w:rsidR="0010386C" w:rsidRPr="00E96440">
        <w:t xml:space="preserve"> (continuing calibr</w:t>
      </w:r>
      <w:r w:rsidR="00E96440" w:rsidRPr="00E96440">
        <w:t>ation verification standard)</w:t>
      </w:r>
      <w:r w:rsidR="0010386C" w:rsidRPr="00E96440">
        <w:t xml:space="preserve"> </w:t>
      </w:r>
      <w:r w:rsidR="00900929">
        <w:t>ammonia solution, 2</w:t>
      </w:r>
      <w:r w:rsidRPr="00E96440">
        <w:t>.0 mg/L</w:t>
      </w:r>
      <w:r>
        <w:t xml:space="preserve"> </w:t>
      </w:r>
      <w:r w:rsidR="00B91901">
        <w:t>NH</w:t>
      </w:r>
      <w:r w:rsidR="00B91901" w:rsidRPr="00F17560">
        <w:rPr>
          <w:vertAlign w:val="subscript"/>
        </w:rPr>
        <w:t>3</w:t>
      </w:r>
      <w:r w:rsidR="00B91901">
        <w:t>-N</w:t>
      </w:r>
      <w:r>
        <w:t xml:space="preserve">.  </w:t>
      </w:r>
      <w:r w:rsidR="00900929">
        <w:t>May be the sa</w:t>
      </w:r>
      <w:r w:rsidR="00F354B9">
        <w:t>me source as the calibration st</w:t>
      </w:r>
      <w:r w:rsidR="00900929">
        <w:t>a</w:t>
      </w:r>
      <w:r w:rsidR="00F354B9">
        <w:t>n</w:t>
      </w:r>
      <w:r w:rsidR="00900929">
        <w:t>dards.</w:t>
      </w:r>
    </w:p>
    <w:p w14:paraId="747988C1" w14:textId="77777777" w:rsidR="001B109B" w:rsidRDefault="00D67809" w:rsidP="00F609CE">
      <w:pPr>
        <w:pStyle w:val="11SOP"/>
      </w:pPr>
      <w:bookmarkStart w:id="1" w:name="_Hlk513534958"/>
      <w:r>
        <w:t>Sulfuric acid solution, 5 N</w:t>
      </w:r>
      <w:r w:rsidR="001B109B" w:rsidRPr="00C873CB">
        <w:t xml:space="preserve"> </w:t>
      </w:r>
      <w:r w:rsidR="001B109B">
        <w:t>(for preserving samples)</w:t>
      </w:r>
    </w:p>
    <w:p w14:paraId="75805D14" w14:textId="77777777" w:rsidR="00FE4835" w:rsidRDefault="00FE4835" w:rsidP="00F609CE">
      <w:pPr>
        <w:pStyle w:val="11SOP"/>
      </w:pPr>
      <w:r>
        <w:lastRenderedPageBreak/>
        <w:t>Dechlorinating reagent; used to remove residual chlorine.  Dissolve 0.35 g sodium thiosulfate (Na</w:t>
      </w:r>
      <w:r w:rsidRPr="00FE4835">
        <w:rPr>
          <w:vertAlign w:val="subscript"/>
        </w:rPr>
        <w:t>2</w:t>
      </w:r>
      <w:r>
        <w:t>S</w:t>
      </w:r>
      <w:r w:rsidRPr="00FE4835">
        <w:rPr>
          <w:vertAlign w:val="subscript"/>
        </w:rPr>
        <w:t>2</w:t>
      </w:r>
      <w:r>
        <w:t>O</w:t>
      </w:r>
      <w:r w:rsidRPr="00FE4835">
        <w:rPr>
          <w:vertAlign w:val="subscript"/>
        </w:rPr>
        <w:t>3</w:t>
      </w:r>
      <w:r>
        <w:t xml:space="preserve"> </w:t>
      </w:r>
      <w:r>
        <w:rPr>
          <w:rFonts w:cs="Arial"/>
        </w:rPr>
        <w:t>•</w:t>
      </w:r>
      <w:r>
        <w:t xml:space="preserve"> 5H</w:t>
      </w:r>
      <w:r w:rsidRPr="00FE4835">
        <w:rPr>
          <w:vertAlign w:val="subscript"/>
        </w:rPr>
        <w:t>2</w:t>
      </w:r>
      <w:r>
        <w:t xml:space="preserve">O) in water and dilute to 100 mL.  Prepare fresh weekly.  </w:t>
      </w:r>
    </w:p>
    <w:bookmarkEnd w:id="1"/>
    <w:p w14:paraId="587FC9F7" w14:textId="77777777" w:rsidR="006D0E91" w:rsidRDefault="006D0E91" w:rsidP="00F609CE">
      <w:pPr>
        <w:pStyle w:val="11SOP"/>
      </w:pPr>
      <w:r>
        <w:t xml:space="preserve">Proficiency Testing samples from </w:t>
      </w:r>
      <w:r w:rsidR="00A9330B">
        <w:t>an approved provider</w:t>
      </w:r>
    </w:p>
    <w:p w14:paraId="3973F2C1" w14:textId="77777777" w:rsidR="000762D0" w:rsidRDefault="000762D0" w:rsidP="000762D0">
      <w:pPr>
        <w:pStyle w:val="10SOP"/>
      </w:pPr>
      <w:r>
        <w:t>Interferences</w:t>
      </w:r>
    </w:p>
    <w:p w14:paraId="3034B0C7" w14:textId="77777777" w:rsidR="00E734A3" w:rsidRPr="00E734A3" w:rsidRDefault="00E734A3" w:rsidP="002D27CF">
      <w:pPr>
        <w:pStyle w:val="11SOP"/>
      </w:pPr>
      <w:r>
        <w:t>Residual chlorine reacts with ammonia; remove by sample pretreatment.  If a sample is likely to contain residual chlorine, immediately upon collection, treat with dechlorinating agent.  Refer to Standard Methods 4500-NH</w:t>
      </w:r>
      <w:r w:rsidRPr="00E734A3">
        <w:rPr>
          <w:vertAlign w:val="subscript"/>
        </w:rPr>
        <w:t>3</w:t>
      </w:r>
      <w:r>
        <w:t>.B.3</w:t>
      </w:r>
      <w:r w:rsidRPr="00E734A3">
        <w:rPr>
          <w:i/>
        </w:rPr>
        <w:t>d</w:t>
      </w:r>
      <w:r>
        <w:t>.</w:t>
      </w:r>
    </w:p>
    <w:p w14:paraId="706E93E3" w14:textId="77777777" w:rsidR="000762D0" w:rsidRPr="00E120A0" w:rsidRDefault="002D27CF" w:rsidP="002D27CF">
      <w:pPr>
        <w:pStyle w:val="11SOP"/>
      </w:pPr>
      <w:r>
        <w:rPr>
          <w:bCs/>
        </w:rPr>
        <w:t>High concentrations of dissolved ions affect the measurement, but color and turbidity do not</w:t>
      </w:r>
      <w:r w:rsidR="000762D0" w:rsidRPr="00960D4A">
        <w:rPr>
          <w:bCs/>
        </w:rPr>
        <w:t>.</w:t>
      </w:r>
      <w:r w:rsidR="000762D0">
        <w:rPr>
          <w:bCs/>
        </w:rPr>
        <w:t xml:space="preserve">  </w:t>
      </w:r>
      <w:r w:rsidR="000762D0" w:rsidRPr="002D27CF">
        <w:rPr>
          <w:bCs/>
        </w:rPr>
        <w:t xml:space="preserve">  </w:t>
      </w:r>
    </w:p>
    <w:p w14:paraId="5D2C643F" w14:textId="77777777" w:rsidR="000762D0" w:rsidRPr="00B17BC7" w:rsidRDefault="002D27CF" w:rsidP="000762D0">
      <w:pPr>
        <w:pStyle w:val="11SOP"/>
      </w:pPr>
      <w:r>
        <w:rPr>
          <w:bCs/>
        </w:rPr>
        <w:t>Amines are a positive interference.  This may be enhanced by acidification</w:t>
      </w:r>
      <w:r w:rsidR="000762D0" w:rsidRPr="008C0C1F">
        <w:t>.</w:t>
      </w:r>
      <w:r>
        <w:t xml:space="preserve">  Mercury and silver interfere by complexing with ammonia, unless the NaOH/EDTA solution is used.  </w:t>
      </w:r>
    </w:p>
    <w:p w14:paraId="0B0EBD9A" w14:textId="77777777" w:rsidR="00F609CE" w:rsidRDefault="00F609CE" w:rsidP="00F609CE">
      <w:pPr>
        <w:pStyle w:val="10SOP"/>
      </w:pPr>
      <w:r>
        <w:t>Sample Collection, Preservation, and Storage</w:t>
      </w:r>
    </w:p>
    <w:p w14:paraId="4F8C61F6" w14:textId="77777777" w:rsidR="00F609CE" w:rsidRDefault="00CB1954" w:rsidP="00F609CE">
      <w:pPr>
        <w:pStyle w:val="11SOP"/>
      </w:pPr>
      <w:r>
        <w:t xml:space="preserve">Collect samples in clean plastic </w:t>
      </w:r>
      <w:r w:rsidR="004C5164">
        <w:t xml:space="preserve">or glass </w:t>
      </w:r>
      <w:r>
        <w:t>bottles</w:t>
      </w:r>
      <w:r w:rsidR="00452C4F" w:rsidRPr="00452C4F">
        <w:t xml:space="preserve">. </w:t>
      </w:r>
    </w:p>
    <w:p w14:paraId="5796E9DD" w14:textId="77777777" w:rsidR="007A7D2A" w:rsidRDefault="007A7D2A" w:rsidP="00F609CE">
      <w:pPr>
        <w:pStyle w:val="11SOP"/>
      </w:pPr>
      <w:r>
        <w:t>If samples cannot be analyzed within 15 minutes of collection, s</w:t>
      </w:r>
      <w:r w:rsidR="00452C4F" w:rsidRPr="00452C4F">
        <w:t>amples must be preserved by acidifying with sulfuric acid (H</w:t>
      </w:r>
      <w:r w:rsidR="00452C4F" w:rsidRPr="00BC4856">
        <w:rPr>
          <w:vertAlign w:val="subscript"/>
        </w:rPr>
        <w:t>2</w:t>
      </w:r>
      <w:r w:rsidR="00452C4F" w:rsidRPr="00452C4F">
        <w:t>SO</w:t>
      </w:r>
      <w:r w:rsidR="00452C4F" w:rsidRPr="00BC4856">
        <w:rPr>
          <w:vertAlign w:val="subscript"/>
        </w:rPr>
        <w:t>4</w:t>
      </w:r>
      <w:r w:rsidR="00452C4F" w:rsidRPr="00452C4F">
        <w:t xml:space="preserve">) </w:t>
      </w:r>
      <w:r w:rsidR="00BC4856">
        <w:t>to a pH &lt;</w:t>
      </w:r>
      <w:r w:rsidR="00452C4F" w:rsidRPr="00452C4F">
        <w:t>2 immediately after collecting</w:t>
      </w:r>
      <w:r>
        <w:t>.</w:t>
      </w:r>
      <w:r w:rsidR="00452C4F" w:rsidRPr="00452C4F">
        <w:t xml:space="preserve"> </w:t>
      </w:r>
    </w:p>
    <w:p w14:paraId="5396B8C6" w14:textId="77777777" w:rsidR="00F0575E" w:rsidRDefault="00452C4F" w:rsidP="008C2BB2">
      <w:pPr>
        <w:pStyle w:val="111SOP"/>
        <w:tabs>
          <w:tab w:val="clear" w:pos="2970"/>
          <w:tab w:val="num" w:pos="2430"/>
        </w:tabs>
        <w:ind w:left="2430" w:hanging="990"/>
      </w:pPr>
      <w:r w:rsidRPr="00452C4F">
        <w:t>Generally</w:t>
      </w:r>
      <w:r w:rsidR="00BC4856">
        <w:t>,</w:t>
      </w:r>
      <w:r w:rsidR="00CB1954">
        <w:t xml:space="preserve"> 0.5 mL of 5 N</w:t>
      </w:r>
      <w:r w:rsidRPr="00452C4F">
        <w:t xml:space="preserve"> H</w:t>
      </w:r>
      <w:r w:rsidRPr="00BC4856">
        <w:rPr>
          <w:vertAlign w:val="subscript"/>
        </w:rPr>
        <w:t>2</w:t>
      </w:r>
      <w:r w:rsidRPr="00452C4F">
        <w:t>SO</w:t>
      </w:r>
      <w:r w:rsidRPr="00BC4856">
        <w:rPr>
          <w:vertAlign w:val="subscript"/>
        </w:rPr>
        <w:t>4</w:t>
      </w:r>
      <w:r w:rsidR="00CB1954">
        <w:t xml:space="preserve"> per 2</w:t>
      </w:r>
      <w:r w:rsidR="008971D5">
        <w:t>00 mL of sample</w:t>
      </w:r>
      <w:r w:rsidRPr="00452C4F">
        <w:t xml:space="preserve"> is sufficient to redu</w:t>
      </w:r>
      <w:r w:rsidR="00A205F3">
        <w:t xml:space="preserve">ce the pH to &lt;2.  </w:t>
      </w:r>
    </w:p>
    <w:p w14:paraId="583B5693" w14:textId="77777777" w:rsidR="00F609CE" w:rsidRDefault="00A205F3" w:rsidP="008C2BB2">
      <w:pPr>
        <w:pStyle w:val="111SOP"/>
        <w:tabs>
          <w:tab w:val="clear" w:pos="2970"/>
          <w:tab w:val="num" w:pos="2430"/>
        </w:tabs>
        <w:ind w:left="2430" w:hanging="990"/>
      </w:pPr>
      <w:r>
        <w:t>Samples must</w:t>
      </w:r>
      <w:r w:rsidR="00452C4F" w:rsidRPr="00452C4F">
        <w:t xml:space="preserve"> be tested periodically </w:t>
      </w:r>
      <w:r w:rsidR="003A3F28">
        <w:t xml:space="preserve">(at least quarterly) </w:t>
      </w:r>
      <w:r w:rsidR="00D040A1">
        <w:t>with narrow</w:t>
      </w:r>
      <w:r w:rsidR="00452C4F" w:rsidRPr="00452C4F">
        <w:t xml:space="preserve"> range pH paper (</w:t>
      </w:r>
      <w:r>
        <w:t>0-6 pH) to confirm the pH is &lt;2</w:t>
      </w:r>
      <w:r w:rsidR="00452C4F" w:rsidRPr="00452C4F">
        <w:t xml:space="preserve"> and </w:t>
      </w:r>
      <w:r w:rsidR="003A3F28">
        <w:t>documented on the bench sheet or on a separate log.</w:t>
      </w:r>
    </w:p>
    <w:p w14:paraId="77752CA7" w14:textId="77777777" w:rsidR="00E734A3" w:rsidRDefault="00E734A3" w:rsidP="007A7D2A">
      <w:pPr>
        <w:pStyle w:val="11SOP"/>
      </w:pPr>
      <w:r>
        <w:t>If a sample is likely to contain residual chlorine, immediately upon collection, treat with dechlo</w:t>
      </w:r>
      <w:r w:rsidR="00FE4835">
        <w:t>rinating agent.  Use 1 mL dechlorinating agent to remove 1 mg/L residual chlorine in a 500 mL sample. R</w:t>
      </w:r>
      <w:r w:rsidR="009501C1">
        <w:t>ecord this on the bench sheet.</w:t>
      </w:r>
    </w:p>
    <w:p w14:paraId="653EE80B" w14:textId="77777777" w:rsidR="004C5164" w:rsidRDefault="004C5164" w:rsidP="007A7D2A">
      <w:pPr>
        <w:pStyle w:val="11SOP"/>
      </w:pPr>
      <w:r>
        <w:t>Store t</w:t>
      </w:r>
      <w:r w:rsidR="007A7D2A">
        <w:t xml:space="preserve">he preserved samples </w:t>
      </w:r>
      <w:r w:rsidR="00193972">
        <w:t xml:space="preserve">at </w:t>
      </w:r>
      <w:r w:rsidR="007A7D2A">
        <w:rPr>
          <w:rFonts w:cs="Arial"/>
        </w:rPr>
        <w:t>≤</w:t>
      </w:r>
      <w:r w:rsidR="007A7D2A">
        <w:t>6°C</w:t>
      </w:r>
      <w:r w:rsidR="006B5593">
        <w:t xml:space="preserve"> but above freezing.</w:t>
      </w:r>
    </w:p>
    <w:p w14:paraId="3958E50F" w14:textId="77777777" w:rsidR="007A7D2A" w:rsidRDefault="004C5164" w:rsidP="007A7D2A">
      <w:pPr>
        <w:pStyle w:val="11SOP"/>
      </w:pPr>
      <w:r>
        <w:t>Hold times may not exceed</w:t>
      </w:r>
      <w:r w:rsidR="007A7D2A">
        <w:t xml:space="preserve"> 28 days</w:t>
      </w:r>
      <w:r>
        <w:t xml:space="preserve"> from the time of collection.</w:t>
      </w:r>
    </w:p>
    <w:p w14:paraId="22583BFB" w14:textId="77777777" w:rsidR="00F609CE" w:rsidRDefault="00F609CE" w:rsidP="00F609CE">
      <w:pPr>
        <w:pStyle w:val="10SOP"/>
      </w:pPr>
      <w:r>
        <w:t>Quality Control</w:t>
      </w:r>
    </w:p>
    <w:p w14:paraId="2E01C342" w14:textId="77777777" w:rsidR="00F609CE" w:rsidRDefault="00712AA7" w:rsidP="002019E5">
      <w:pPr>
        <w:pStyle w:val="11SOP"/>
        <w:keepNext/>
      </w:pPr>
      <w:r>
        <w:t>Initial Quality Control</w:t>
      </w:r>
    </w:p>
    <w:p w14:paraId="14AC81DD" w14:textId="77777777" w:rsidR="00712AA7" w:rsidRDefault="00F609CE" w:rsidP="008C2BB2">
      <w:pPr>
        <w:pStyle w:val="111SOP"/>
        <w:tabs>
          <w:tab w:val="clear" w:pos="2970"/>
          <w:tab w:val="num" w:pos="2430"/>
        </w:tabs>
        <w:ind w:left="2430" w:hanging="990"/>
      </w:pPr>
      <w:r>
        <w:t xml:space="preserve">All analysts shall perform an IDC </w:t>
      </w:r>
      <w:r w:rsidRPr="00284468">
        <w:rPr>
          <w:u w:val="single"/>
        </w:rPr>
        <w:t xml:space="preserve">once </w:t>
      </w:r>
      <w:r w:rsidR="00353D6E" w:rsidRPr="00284468">
        <w:rPr>
          <w:u w:val="single"/>
        </w:rPr>
        <w:t>for each lab technician</w:t>
      </w:r>
      <w:r>
        <w:t>.</w:t>
      </w:r>
      <w:r w:rsidR="00353D6E">
        <w:t xml:space="preserve">  An IDC is required of all new lab technicians.  </w:t>
      </w:r>
    </w:p>
    <w:p w14:paraId="38FEA851" w14:textId="77777777" w:rsidR="002019E5" w:rsidRDefault="002019E5" w:rsidP="002019E5">
      <w:pPr>
        <w:pStyle w:val="11SOP"/>
      </w:pPr>
      <w:r>
        <w:t>Initial and On-going Quality Control</w:t>
      </w:r>
    </w:p>
    <w:p w14:paraId="1C8C0BA3" w14:textId="77777777" w:rsidR="000120A1" w:rsidRDefault="006C450E" w:rsidP="008C2BB2">
      <w:pPr>
        <w:pStyle w:val="111SOP"/>
        <w:tabs>
          <w:tab w:val="clear" w:pos="2970"/>
          <w:tab w:val="num" w:pos="2430"/>
        </w:tabs>
        <w:ind w:left="2430" w:hanging="990"/>
      </w:pPr>
      <w:r w:rsidRPr="00293411">
        <w:t xml:space="preserve">Method Detection Limit (MDL):  </w:t>
      </w:r>
      <w:r>
        <w:rPr>
          <w:u w:val="single"/>
        </w:rPr>
        <w:t>e</w:t>
      </w:r>
      <w:r w:rsidRPr="00293411">
        <w:rPr>
          <w:u w:val="single"/>
        </w:rPr>
        <w:t>very thirteen months</w:t>
      </w:r>
      <w:r w:rsidRPr="00293411">
        <w:t>, calculate and verify the MDL.  See the “Method Detectio</w:t>
      </w:r>
      <w:r>
        <w:t>n Limits and Reporting” section</w:t>
      </w:r>
      <w:r w:rsidR="000120A1">
        <w:t xml:space="preserve">.  </w:t>
      </w:r>
    </w:p>
    <w:p w14:paraId="43A72862" w14:textId="77777777" w:rsidR="002019E5" w:rsidRDefault="002019E5" w:rsidP="008C2BB2">
      <w:pPr>
        <w:pStyle w:val="111SOP"/>
        <w:tabs>
          <w:tab w:val="clear" w:pos="2970"/>
          <w:tab w:val="num" w:pos="2430"/>
        </w:tabs>
        <w:ind w:left="2430" w:hanging="990"/>
      </w:pPr>
      <w:r>
        <w:lastRenderedPageBreak/>
        <w:t xml:space="preserve">Calibrate the </w:t>
      </w:r>
      <w:r w:rsidR="00087A3B">
        <w:t xml:space="preserve">meter with </w:t>
      </w:r>
      <w:r w:rsidR="00087A3B" w:rsidRPr="00087A3B">
        <w:rPr>
          <w:u w:val="single"/>
        </w:rPr>
        <w:t>each use</w:t>
      </w:r>
      <w:r w:rsidR="00FE58FF">
        <w:t xml:space="preserve"> or </w:t>
      </w:r>
      <w:r w:rsidRPr="00FE58FF">
        <w:t>whenever the calibration check verification (</w:t>
      </w:r>
      <w:r w:rsidR="00FE58FF" w:rsidRPr="00FE58FF">
        <w:t>I</w:t>
      </w:r>
      <w:r w:rsidRPr="00FE58FF">
        <w:t>CV</w:t>
      </w:r>
      <w:r w:rsidR="00900929">
        <w:t>/LCS</w:t>
      </w:r>
      <w:r w:rsidR="00FE4835">
        <w:t xml:space="preserve"> or CCV</w:t>
      </w:r>
      <w:r w:rsidRPr="00FE58FF">
        <w:t>) standard fails</w:t>
      </w:r>
      <w:r>
        <w:t xml:space="preserve"> (see “Calibration </w:t>
      </w:r>
      <w:r w:rsidR="00FE58FF">
        <w:t>and Standardization” section)</w:t>
      </w:r>
      <w:r w:rsidR="00087A3B">
        <w:t>.</w:t>
      </w:r>
    </w:p>
    <w:p w14:paraId="7EC50BF8" w14:textId="77777777" w:rsidR="00531ABB" w:rsidRDefault="00531ABB" w:rsidP="008C2BB2">
      <w:pPr>
        <w:pStyle w:val="111SOP"/>
        <w:tabs>
          <w:tab w:val="clear" w:pos="2970"/>
          <w:tab w:val="num" w:pos="2430"/>
        </w:tabs>
        <w:ind w:left="2430" w:hanging="990"/>
      </w:pPr>
      <w:r>
        <w:t xml:space="preserve">Verify the calibration </w:t>
      </w:r>
      <w:r w:rsidRPr="00750779">
        <w:rPr>
          <w:u w:val="single"/>
        </w:rPr>
        <w:t>immediatel</w:t>
      </w:r>
      <w:r w:rsidR="00FE58FF">
        <w:rPr>
          <w:u w:val="single"/>
        </w:rPr>
        <w:t>y following calibration</w:t>
      </w:r>
      <w:r>
        <w:t xml:space="preserve"> by analyzing an initial calibration </w:t>
      </w:r>
      <w:r w:rsidRPr="00FE58FF">
        <w:t>verification (ICV</w:t>
      </w:r>
      <w:r w:rsidR="00900929">
        <w:t>/LCS</w:t>
      </w:r>
      <w:r w:rsidRPr="00FE58FF">
        <w:t>) standard.  The ICV</w:t>
      </w:r>
      <w:r w:rsidR="00900929">
        <w:t>/LCS</w:t>
      </w:r>
      <w:r w:rsidRPr="00FE58FF">
        <w:t xml:space="preserve"> must be from a second source standard.</w:t>
      </w:r>
      <w:r>
        <w:t xml:space="preserve">  </w:t>
      </w:r>
      <w:r w:rsidR="00E96440" w:rsidRPr="00E96440">
        <w:t xml:space="preserve">(If the calibration standards are processed the same as the </w:t>
      </w:r>
      <w:r w:rsidR="00E96440">
        <w:t>samples and the I</w:t>
      </w:r>
      <w:r w:rsidR="00E96440" w:rsidRPr="00E96440">
        <w:t>CV, t</w:t>
      </w:r>
      <w:r w:rsidR="00E96440">
        <w:t>he LCS will be the same as the I</w:t>
      </w:r>
      <w:r w:rsidR="00E96440" w:rsidRPr="00E96440">
        <w:t>CV; in this case, a separate LCS does not need to be analyzed.)</w:t>
      </w:r>
    </w:p>
    <w:p w14:paraId="68691729" w14:textId="77777777" w:rsidR="00BC4856" w:rsidRDefault="001647EA" w:rsidP="008C2BB2">
      <w:pPr>
        <w:pStyle w:val="111SOP"/>
        <w:tabs>
          <w:tab w:val="clear" w:pos="2970"/>
          <w:tab w:val="num" w:pos="2430"/>
        </w:tabs>
        <w:ind w:left="2430" w:hanging="990"/>
      </w:pPr>
      <w:r w:rsidRPr="000411E9">
        <w:rPr>
          <w:u w:val="single"/>
        </w:rPr>
        <w:t>Annually</w:t>
      </w:r>
      <w:r>
        <w:t xml:space="preserve"> a Performance Test (PT) sample must be obtained </w:t>
      </w:r>
      <w:r w:rsidR="000D1CEC">
        <w:t xml:space="preserve">and analyzed </w:t>
      </w:r>
      <w:r>
        <w:t>from one of the W</w:t>
      </w:r>
      <w:r w:rsidR="000120A1">
        <w:t>isconsin DNR approved providers.</w:t>
      </w:r>
    </w:p>
    <w:p w14:paraId="22AA79A8" w14:textId="77777777" w:rsidR="00712AA7" w:rsidRDefault="00712AA7" w:rsidP="00F609CE">
      <w:pPr>
        <w:pStyle w:val="11SOP"/>
      </w:pPr>
      <w:r>
        <w:t>On-going Quality Control</w:t>
      </w:r>
    </w:p>
    <w:p w14:paraId="0109DBE1" w14:textId="77777777" w:rsidR="00BC4856" w:rsidRDefault="002019E5" w:rsidP="008C2BB2">
      <w:pPr>
        <w:pStyle w:val="111SOP"/>
        <w:tabs>
          <w:tab w:val="clear" w:pos="2970"/>
          <w:tab w:val="num" w:pos="2430"/>
        </w:tabs>
        <w:ind w:left="2430" w:hanging="990"/>
      </w:pPr>
      <w:r>
        <w:t>Analyze a method blank</w:t>
      </w:r>
      <w:r w:rsidR="002D20E9">
        <w:t xml:space="preserve"> (MB)</w:t>
      </w:r>
      <w:r>
        <w:t xml:space="preserve"> </w:t>
      </w:r>
      <w:r w:rsidR="001647EA">
        <w:rPr>
          <w:u w:val="single"/>
        </w:rPr>
        <w:t>every</w:t>
      </w:r>
      <w:r w:rsidRPr="001647EA">
        <w:rPr>
          <w:u w:val="single"/>
        </w:rPr>
        <w:t xml:space="preserve"> run of 20 samples</w:t>
      </w:r>
      <w:r w:rsidR="001647EA" w:rsidRPr="001647EA">
        <w:t xml:space="preserve"> after the ICV</w:t>
      </w:r>
      <w:r w:rsidR="00900929">
        <w:t>/LCS</w:t>
      </w:r>
      <w:r w:rsidR="001647EA" w:rsidRPr="001647EA">
        <w:t xml:space="preserve"> or CCV</w:t>
      </w:r>
      <w:r w:rsidR="006D0E91">
        <w:t>.</w:t>
      </w:r>
      <w:r>
        <w:t xml:space="preserve">  </w:t>
      </w:r>
    </w:p>
    <w:p w14:paraId="724502E7" w14:textId="77777777" w:rsidR="006D0E91" w:rsidRDefault="00087A3B" w:rsidP="008C2BB2">
      <w:pPr>
        <w:pStyle w:val="111SOP"/>
        <w:tabs>
          <w:tab w:val="clear" w:pos="2970"/>
          <w:tab w:val="num" w:pos="2430"/>
        </w:tabs>
        <w:ind w:left="2430" w:hanging="990"/>
      </w:pPr>
      <w:r>
        <w:t>If more than 20 samples are analyzed,</w:t>
      </w:r>
      <w:r w:rsidR="00E96440">
        <w:t xml:space="preserve"> a</w:t>
      </w:r>
      <w:r w:rsidR="00BC4856">
        <w:t xml:space="preserve">nalyze a </w:t>
      </w:r>
      <w:r w:rsidR="00E96440">
        <w:t>continuing calibration verification standard (CCV</w:t>
      </w:r>
      <w:r w:rsidR="00BC4856">
        <w:t xml:space="preserve">) with </w:t>
      </w:r>
      <w:r w:rsidR="00BC4856" w:rsidRPr="001647EA">
        <w:rPr>
          <w:u w:val="single"/>
        </w:rPr>
        <w:t xml:space="preserve">every run of </w:t>
      </w:r>
      <w:r w:rsidR="00BC4856" w:rsidRPr="00E96440">
        <w:rPr>
          <w:u w:val="single"/>
        </w:rPr>
        <w:t>20 samples</w:t>
      </w:r>
      <w:r w:rsidR="00BC4856" w:rsidRPr="00E96440">
        <w:t>.</w:t>
      </w:r>
      <w:r w:rsidR="006F4477" w:rsidRPr="00E96440">
        <w:t xml:space="preserve">  </w:t>
      </w:r>
    </w:p>
    <w:p w14:paraId="5C8D52A6" w14:textId="77777777" w:rsidR="00F609CE" w:rsidRDefault="00F609CE" w:rsidP="00F609CE">
      <w:pPr>
        <w:pStyle w:val="10SOP"/>
      </w:pPr>
      <w:r>
        <w:t>Calibration and Standardization</w:t>
      </w:r>
    </w:p>
    <w:p w14:paraId="34A8A3EA" w14:textId="77777777" w:rsidR="009B03DC" w:rsidRDefault="009B03DC" w:rsidP="00633B14">
      <w:pPr>
        <w:pStyle w:val="11SOP"/>
      </w:pPr>
      <w:r w:rsidRPr="00633B14">
        <w:t xml:space="preserve">The ABC Company Model 123 </w:t>
      </w:r>
      <w:r w:rsidR="00D64511">
        <w:t>ion selective meter and XYZ probe</w:t>
      </w:r>
      <w:r w:rsidRPr="00633B14">
        <w:t xml:space="preserve"> </w:t>
      </w:r>
      <w:r>
        <w:t>is used. Refer to the User Manual for additional information.</w:t>
      </w:r>
      <w:r w:rsidRPr="00BE78D4">
        <w:t xml:space="preserve"> </w:t>
      </w:r>
      <w:r>
        <w:t xml:space="preserve">   </w:t>
      </w:r>
    </w:p>
    <w:p w14:paraId="44A51A47" w14:textId="77777777" w:rsidR="001671DA" w:rsidRDefault="001671DA" w:rsidP="00633B14">
      <w:pPr>
        <w:pStyle w:val="11SOP"/>
      </w:pPr>
      <w:r>
        <w:t xml:space="preserve">Calibration </w:t>
      </w:r>
      <w:r w:rsidR="00633B14">
        <w:t xml:space="preserve">must be performed </w:t>
      </w:r>
      <w:r w:rsidR="00614BE2">
        <w:t>each day of use</w:t>
      </w:r>
      <w:r w:rsidR="00D963D5">
        <w:t xml:space="preserve"> or whenever the </w:t>
      </w:r>
      <w:r w:rsidR="009E5A6B">
        <w:t>ICV</w:t>
      </w:r>
      <w:r w:rsidR="00FE4835">
        <w:t>/LCS</w:t>
      </w:r>
      <w:r w:rsidR="009E5A6B">
        <w:t xml:space="preserve"> or </w:t>
      </w:r>
      <w:r w:rsidR="00D963D5">
        <w:t>CCV fails</w:t>
      </w:r>
      <w:r>
        <w:t>.</w:t>
      </w:r>
      <w:r w:rsidR="00E607F3">
        <w:t xml:space="preserve">  </w:t>
      </w:r>
      <w:r w:rsidR="00C868E4">
        <w:t>If the temperature has changed or the meter is being used for more than 2 hours, repeat the calibration.</w:t>
      </w:r>
    </w:p>
    <w:p w14:paraId="0CEE0092" w14:textId="77777777" w:rsidR="009D09FD" w:rsidRDefault="00614BE2" w:rsidP="00633B14">
      <w:pPr>
        <w:pStyle w:val="11SOP"/>
      </w:pPr>
      <w:r>
        <w:t>The calibration curve</w:t>
      </w:r>
      <w:r w:rsidR="006F4477">
        <w:t xml:space="preserve"> must be generated with </w:t>
      </w:r>
      <w:r>
        <w:t xml:space="preserve">at least 3 </w:t>
      </w:r>
      <w:r w:rsidR="006F4477">
        <w:t>standards.</w:t>
      </w:r>
    </w:p>
    <w:p w14:paraId="21988E4C" w14:textId="77777777" w:rsidR="00E918DB" w:rsidRDefault="00614BE2" w:rsidP="00633B14">
      <w:pPr>
        <w:pStyle w:val="11SOP"/>
      </w:pPr>
      <w:r>
        <w:t>Be sure the standards are at room temperature.</w:t>
      </w:r>
    </w:p>
    <w:p w14:paraId="7497C85B" w14:textId="77777777" w:rsidR="00614BE2" w:rsidRDefault="00614BE2" w:rsidP="00633B14">
      <w:pPr>
        <w:pStyle w:val="11SOP"/>
      </w:pPr>
      <w:r>
        <w:t>Place a piece of cardboard or other insulating material between the stirrer and the beaker to prevent heating of the solutions.</w:t>
      </w:r>
    </w:p>
    <w:p w14:paraId="7DEE4796" w14:textId="77777777" w:rsidR="00614BE2" w:rsidRDefault="00432B22" w:rsidP="00432B22">
      <w:pPr>
        <w:pStyle w:val="11SOP"/>
      </w:pPr>
      <w:r>
        <w:t>Add 100 mL of the 0.2</w:t>
      </w:r>
      <w:r w:rsidR="00AE795B">
        <w:t>, 2.0, and 20.0 mg/L</w:t>
      </w:r>
      <w:r>
        <w:t xml:space="preserve"> standard</w:t>
      </w:r>
      <w:r w:rsidR="00AE795B">
        <w:t>s into separate</w:t>
      </w:r>
      <w:r>
        <w:t xml:space="preserve"> beaker</w:t>
      </w:r>
      <w:r w:rsidR="00AE795B">
        <w:t xml:space="preserve">s using a </w:t>
      </w:r>
      <w:r>
        <w:t>graduated cylinder.</w:t>
      </w:r>
    </w:p>
    <w:p w14:paraId="393D4180" w14:textId="77777777" w:rsidR="00A9330B" w:rsidRDefault="00A9330B" w:rsidP="00432B22">
      <w:pPr>
        <w:pStyle w:val="11SOP"/>
      </w:pPr>
      <w:r>
        <w:t xml:space="preserve">Turn on the meter, press “mode” until the indicator displays “CON.”  Press “calibrate,” enter in 3 for the number of standards, and press “yes.” </w:t>
      </w:r>
    </w:p>
    <w:p w14:paraId="7E0696A6" w14:textId="77777777" w:rsidR="00A9330B" w:rsidRDefault="00A9330B" w:rsidP="00432B22">
      <w:pPr>
        <w:pStyle w:val="11SOP"/>
      </w:pPr>
      <w:r>
        <w:t>Enter 0.2 for the calibration value, and press “yes.”</w:t>
      </w:r>
    </w:p>
    <w:p w14:paraId="5DCE65A0" w14:textId="77777777" w:rsidR="00432B22" w:rsidRDefault="00432B22" w:rsidP="00432B22">
      <w:pPr>
        <w:pStyle w:val="11SOP"/>
      </w:pPr>
      <w:r>
        <w:t>Rinse off the electrode</w:t>
      </w:r>
      <w:r w:rsidR="00C868E4">
        <w:t>, dab dry</w:t>
      </w:r>
      <w:r>
        <w:t xml:space="preserve">, and place it in the 0.2 </w:t>
      </w:r>
      <w:r w:rsidR="00AE795B">
        <w:t xml:space="preserve">mg/L </w:t>
      </w:r>
      <w:r>
        <w:t>standard.</w:t>
      </w:r>
    </w:p>
    <w:p w14:paraId="521D86C3" w14:textId="77777777" w:rsidR="00432B22" w:rsidRDefault="00432B22" w:rsidP="00432B22">
      <w:pPr>
        <w:pStyle w:val="11SOP"/>
      </w:pPr>
      <w:r>
        <w:t>Turn on the magnetic stirrer making sure the probe is above the stir bar.  Keep the stirrer at the same slow speed for all standards and samples.</w:t>
      </w:r>
    </w:p>
    <w:p w14:paraId="51C7C64C" w14:textId="4650958E" w:rsidR="00432B22" w:rsidRDefault="00432B22" w:rsidP="00432B22">
      <w:pPr>
        <w:pStyle w:val="11SOP"/>
      </w:pPr>
      <w:r>
        <w:t xml:space="preserve">Add </w:t>
      </w:r>
      <w:r w:rsidR="000F3293">
        <w:t>1</w:t>
      </w:r>
      <w:r>
        <w:t xml:space="preserve"> mL of </w:t>
      </w:r>
      <w:r w:rsidR="00071D01">
        <w:t>buffer solution</w:t>
      </w:r>
      <w:r>
        <w:t xml:space="preserve">.  </w:t>
      </w:r>
      <w:r w:rsidR="007D382D">
        <w:rPr>
          <w:b/>
        </w:rPr>
        <w:t>Do not add buffer</w:t>
      </w:r>
      <w:r>
        <w:rPr>
          <w:b/>
        </w:rPr>
        <w:t xml:space="preserve"> before immersing the electrode because ammonia may be lost from the basic solution.</w:t>
      </w:r>
    </w:p>
    <w:p w14:paraId="780F3B2E" w14:textId="77777777" w:rsidR="00432B22" w:rsidRDefault="00AE795B" w:rsidP="00432B22">
      <w:pPr>
        <w:pStyle w:val="11SOP"/>
      </w:pPr>
      <w:r>
        <w:lastRenderedPageBreak/>
        <w:t>When the reading on the meter is stable</w:t>
      </w:r>
      <w:r w:rsidR="00C868E4">
        <w:t xml:space="preserve"> (at least 4 minutes)</w:t>
      </w:r>
      <w:r>
        <w:t xml:space="preserve">, record the </w:t>
      </w:r>
      <w:r w:rsidR="00B41875">
        <w:t>millivolts (</w:t>
      </w:r>
      <w:r>
        <w:t>mV</w:t>
      </w:r>
      <w:r w:rsidR="00B41875">
        <w:t>)</w:t>
      </w:r>
      <w:r>
        <w:t xml:space="preserve">.  </w:t>
      </w:r>
      <w:r w:rsidR="00A9330B">
        <w:t>When the prompt appears, press “yes.”</w:t>
      </w:r>
    </w:p>
    <w:p w14:paraId="7B5E514A" w14:textId="641133E4" w:rsidR="00AE795B" w:rsidRDefault="00B6563B" w:rsidP="00432B22">
      <w:pPr>
        <w:pStyle w:val="11SOP"/>
      </w:pPr>
      <w:r>
        <w:t xml:space="preserve">Enter 2.0 for the calibration value, and press “yes.”  </w:t>
      </w:r>
      <w:r w:rsidR="00AE795B">
        <w:t>Rinse off the electrode</w:t>
      </w:r>
      <w:r w:rsidR="001644C6">
        <w:t>, dab dry</w:t>
      </w:r>
      <w:r w:rsidR="00AE795B">
        <w:t xml:space="preserve">, and place it in the 2.0 mg/L standard.  While stirring, add </w:t>
      </w:r>
      <w:r w:rsidR="000F3293">
        <w:t>1</w:t>
      </w:r>
      <w:r w:rsidR="00AE795B">
        <w:t xml:space="preserve"> mL of </w:t>
      </w:r>
      <w:r w:rsidR="007D382D">
        <w:t>buffer solution</w:t>
      </w:r>
      <w:r w:rsidR="00AE795B">
        <w:t xml:space="preserve">.  When the reading is stable, record the mV, and </w:t>
      </w:r>
      <w:r w:rsidR="00A9330B">
        <w:t>when the prompt appears, press “yes.”</w:t>
      </w:r>
    </w:p>
    <w:p w14:paraId="6C616E34" w14:textId="499B9288" w:rsidR="00AE795B" w:rsidRDefault="00B6563B" w:rsidP="00432B22">
      <w:pPr>
        <w:pStyle w:val="11SOP"/>
      </w:pPr>
      <w:r>
        <w:t xml:space="preserve">Enter 20 for the calibration value, and press “yes.”  </w:t>
      </w:r>
      <w:r w:rsidR="00AE795B">
        <w:t xml:space="preserve">Rinse off the electrode, </w:t>
      </w:r>
      <w:r w:rsidR="001644C6">
        <w:t xml:space="preserve">dab dry, </w:t>
      </w:r>
      <w:r w:rsidR="00AE795B">
        <w:t xml:space="preserve">and place it in the 20.0 mg/L standard.  While stirring, add </w:t>
      </w:r>
      <w:r w:rsidR="000F3293">
        <w:t>1</w:t>
      </w:r>
      <w:r w:rsidR="00AE795B">
        <w:t xml:space="preserve"> mL of </w:t>
      </w:r>
      <w:r w:rsidR="007D382D">
        <w:t>buffer solution</w:t>
      </w:r>
      <w:r w:rsidR="00AE795B">
        <w:t xml:space="preserve">.  When the reading is stable, record the mV, </w:t>
      </w:r>
      <w:r w:rsidR="00A9330B">
        <w:t>and when the prompt appears, press “yes.”</w:t>
      </w:r>
    </w:p>
    <w:p w14:paraId="70CDB780" w14:textId="77777777" w:rsidR="00AE795B" w:rsidRDefault="00AE795B" w:rsidP="00432B22">
      <w:pPr>
        <w:pStyle w:val="11SOP"/>
      </w:pPr>
      <w:r>
        <w:t>The meter will display the calibration slope.  Record the slope on the bench sheet.  The sl</w:t>
      </w:r>
      <w:r w:rsidR="00936E06">
        <w:t>ope must be between -54 and -60 (or according to the probe manual</w:t>
      </w:r>
      <w:r w:rsidR="007D382D">
        <w:t>’s slope criteria</w:t>
      </w:r>
      <w:r w:rsidR="00936E06">
        <w:t>).</w:t>
      </w:r>
      <w:r>
        <w:t xml:space="preserve">  If not, recalibrate.</w:t>
      </w:r>
    </w:p>
    <w:p w14:paraId="1F059806" w14:textId="77777777" w:rsidR="001671DA" w:rsidRDefault="001671DA" w:rsidP="00633B14">
      <w:pPr>
        <w:pStyle w:val="11SOP"/>
      </w:pPr>
      <w:r>
        <w:t xml:space="preserve">Document </w:t>
      </w:r>
      <w:r w:rsidR="00875CFF">
        <w:t xml:space="preserve">all of </w:t>
      </w:r>
      <w:r>
        <w:t>the calibration result</w:t>
      </w:r>
      <w:r w:rsidR="00750779">
        <w:t xml:space="preserve">s </w:t>
      </w:r>
      <w:r w:rsidR="00875CFF">
        <w:t xml:space="preserve">and information </w:t>
      </w:r>
      <w:r w:rsidR="00750779">
        <w:t>on the bench sheet</w:t>
      </w:r>
      <w:r>
        <w:t>.</w:t>
      </w:r>
      <w:r w:rsidR="00A02780">
        <w:t xml:space="preserve">  </w:t>
      </w:r>
    </w:p>
    <w:p w14:paraId="34A5CEA9" w14:textId="77777777" w:rsidR="0086019C" w:rsidRDefault="00F609CE" w:rsidP="00C868E4">
      <w:pPr>
        <w:pStyle w:val="10SOP"/>
      </w:pPr>
      <w:r>
        <w:t>Procedure</w:t>
      </w:r>
    </w:p>
    <w:p w14:paraId="1126A628" w14:textId="77777777" w:rsidR="00F609CE" w:rsidRPr="0089648A" w:rsidRDefault="002D20E9" w:rsidP="00F609CE">
      <w:pPr>
        <w:pStyle w:val="11SOP"/>
      </w:pPr>
      <w:r w:rsidRPr="0089648A">
        <w:t>Warm all samples</w:t>
      </w:r>
      <w:r w:rsidR="00C868E4">
        <w:t>, standards,</w:t>
      </w:r>
      <w:r w:rsidRPr="0089648A">
        <w:t xml:space="preserve"> and reagents to room temperature.</w:t>
      </w:r>
      <w:r w:rsidR="006D11E1">
        <w:t xml:space="preserve">  </w:t>
      </w:r>
    </w:p>
    <w:p w14:paraId="12C10BC6" w14:textId="77777777" w:rsidR="00DC7943" w:rsidRDefault="00C868E4" w:rsidP="00DC7943">
      <w:pPr>
        <w:pStyle w:val="11SOP"/>
      </w:pPr>
      <w:r>
        <w:t>Using a graduated cylinder, add 100 mL of the ICV</w:t>
      </w:r>
      <w:r w:rsidR="00900929">
        <w:t>/LCS</w:t>
      </w:r>
      <w:r>
        <w:t xml:space="preserve"> standard </w:t>
      </w:r>
      <w:r w:rsidR="00DC7943">
        <w:t xml:space="preserve">to </w:t>
      </w:r>
      <w:r>
        <w:t>a clean beaker</w:t>
      </w:r>
      <w:r w:rsidR="00DC7943">
        <w:t>.</w:t>
      </w:r>
    </w:p>
    <w:p w14:paraId="12ED6A19" w14:textId="77777777" w:rsidR="00B41875" w:rsidRDefault="00B41875" w:rsidP="00B41875">
      <w:pPr>
        <w:pStyle w:val="11SOP"/>
      </w:pPr>
      <w:r>
        <w:t>Rinse off the electrode</w:t>
      </w:r>
      <w:r w:rsidR="00A9330B">
        <w:t xml:space="preserve"> from the calibrated meter</w:t>
      </w:r>
      <w:r>
        <w:t>, dab dry, and place it in the ICV</w:t>
      </w:r>
      <w:r w:rsidR="00900929">
        <w:t>/LCS</w:t>
      </w:r>
      <w:r>
        <w:t xml:space="preserve"> standard.</w:t>
      </w:r>
    </w:p>
    <w:p w14:paraId="390BF947" w14:textId="77777777" w:rsidR="00B41875" w:rsidRDefault="00B41875" w:rsidP="00B41875">
      <w:pPr>
        <w:pStyle w:val="11SOP"/>
      </w:pPr>
      <w:r>
        <w:t>Turn on the magnetic stirrer making sure the probe is above the stir bar.  Keep the stirrer at the same slow speed for all standards and samples.</w:t>
      </w:r>
    </w:p>
    <w:p w14:paraId="1B66FB7A" w14:textId="77777777" w:rsidR="00B41875" w:rsidRDefault="00A9330B" w:rsidP="00B41875">
      <w:pPr>
        <w:pStyle w:val="11SOP"/>
      </w:pPr>
      <w:r>
        <w:t>Add 1</w:t>
      </w:r>
      <w:r w:rsidR="00B41875">
        <w:t xml:space="preserve"> mL of </w:t>
      </w:r>
      <w:r w:rsidR="007D382D">
        <w:t>buffer solution.</w:t>
      </w:r>
      <w:r w:rsidR="00B41875">
        <w:t xml:space="preserve">  </w:t>
      </w:r>
      <w:r w:rsidR="007D382D">
        <w:rPr>
          <w:b/>
        </w:rPr>
        <w:t>Do not add buffer</w:t>
      </w:r>
      <w:r w:rsidR="00B41875">
        <w:rPr>
          <w:b/>
        </w:rPr>
        <w:t xml:space="preserve"> before immersing the electrode because ammonia may be lost from the basic solution.</w:t>
      </w:r>
    </w:p>
    <w:p w14:paraId="58CA3343" w14:textId="77777777" w:rsidR="001A0DF4" w:rsidRDefault="0099383B" w:rsidP="00B41875">
      <w:pPr>
        <w:pStyle w:val="11SOP"/>
      </w:pPr>
      <w:r>
        <w:t xml:space="preserve">Test the pH to make sure the pH is above 11, and record on the bench sheet.  </w:t>
      </w:r>
    </w:p>
    <w:p w14:paraId="601D772A" w14:textId="70513F8D" w:rsidR="0099383B" w:rsidRDefault="006B5593" w:rsidP="001A0DF4">
      <w:pPr>
        <w:pStyle w:val="111SOP"/>
        <w:tabs>
          <w:tab w:val="clear" w:pos="2970"/>
          <w:tab w:val="num" w:pos="2430"/>
        </w:tabs>
        <w:ind w:left="2430" w:hanging="990"/>
      </w:pPr>
      <w:r>
        <w:t xml:space="preserve">If it is not above 11, add more buffer solution in 1 mL increments.  Record how much is added and include </w:t>
      </w:r>
      <w:r w:rsidR="007D382D">
        <w:t xml:space="preserve">this volume </w:t>
      </w:r>
      <w:r>
        <w:t xml:space="preserve">in calculating the final result. </w:t>
      </w:r>
    </w:p>
    <w:p w14:paraId="77FFF463" w14:textId="07ACCC1E" w:rsidR="000F3293" w:rsidRDefault="000F3293" w:rsidP="001A0DF4">
      <w:pPr>
        <w:pStyle w:val="111SOP"/>
        <w:tabs>
          <w:tab w:val="clear" w:pos="2970"/>
          <w:tab w:val="num" w:pos="2430"/>
        </w:tabs>
        <w:ind w:left="2430" w:hanging="990"/>
      </w:pPr>
      <w:r>
        <w:t>If using a color indicating buffer, testing the pH is not necessary.  Ensure the color change is observed indicating the pH is above 11.</w:t>
      </w:r>
    </w:p>
    <w:p w14:paraId="657180B0" w14:textId="77777777" w:rsidR="00B41875" w:rsidRDefault="00B41875" w:rsidP="00B41875">
      <w:pPr>
        <w:pStyle w:val="11SOP"/>
      </w:pPr>
      <w:r>
        <w:t xml:space="preserve">When the reading on the meter is stable (at least 4 minutes), record the mV and concentration on the bench sheet.  </w:t>
      </w:r>
    </w:p>
    <w:p w14:paraId="4E62D87F" w14:textId="77777777" w:rsidR="000B6B13" w:rsidRDefault="00B41875" w:rsidP="00B41875">
      <w:pPr>
        <w:pStyle w:val="11SOP"/>
      </w:pPr>
      <w:r>
        <w:t>Rinse off the electrode, dab dry, and continue reading the method blank and all samples.</w:t>
      </w:r>
    </w:p>
    <w:p w14:paraId="411863F1" w14:textId="77777777" w:rsidR="00FA67A0" w:rsidRDefault="0099383B" w:rsidP="00FA67A0">
      <w:pPr>
        <w:pStyle w:val="11SOP"/>
      </w:pPr>
      <w:r>
        <w:t>I</w:t>
      </w:r>
      <w:r w:rsidR="00B41875">
        <w:t xml:space="preserve">f any sample has a result </w:t>
      </w:r>
      <w:r w:rsidR="00FA67A0">
        <w:t>higher than the highest standard in the calibration curve, the sample must be diluted and reanalyzed.</w:t>
      </w:r>
    </w:p>
    <w:p w14:paraId="5FBEEC4A" w14:textId="77777777" w:rsidR="000B6B13" w:rsidRDefault="00F609CE" w:rsidP="000B6B13">
      <w:pPr>
        <w:pStyle w:val="10SOP"/>
      </w:pPr>
      <w:r>
        <w:lastRenderedPageBreak/>
        <w:t>Calculations</w:t>
      </w:r>
    </w:p>
    <w:p w14:paraId="3A7BC79F" w14:textId="77777777" w:rsidR="00385B07" w:rsidRDefault="00FA333F" w:rsidP="000B6B13">
      <w:pPr>
        <w:pStyle w:val="11SOP"/>
      </w:pPr>
      <w:r>
        <w:t>Results are calculated from</w:t>
      </w:r>
      <w:r w:rsidR="00EA3EF6">
        <w:t xml:space="preserve"> the </w:t>
      </w:r>
      <w:r w:rsidR="00B376D3">
        <w:t xml:space="preserve">linear </w:t>
      </w:r>
      <w:r w:rsidR="00EA3EF6">
        <w:t>calibration curve</w:t>
      </w:r>
      <w:r w:rsidR="0086241D">
        <w:t xml:space="preserve"> based on the Nerst equation</w:t>
      </w:r>
      <w:r w:rsidR="000C3FD7">
        <w:t>, and concentrations are read from the meter.</w:t>
      </w:r>
      <w:r>
        <w:t xml:space="preserve">  Include any applicable dilution factors.</w:t>
      </w:r>
      <w:r w:rsidR="00EA3EF6">
        <w:t xml:space="preserve">  </w:t>
      </w:r>
    </w:p>
    <w:p w14:paraId="39A5F874" w14:textId="77777777" w:rsidR="000B6B13" w:rsidRDefault="00182C12" w:rsidP="000B6B13">
      <w:pPr>
        <w:pStyle w:val="11SOP"/>
      </w:pPr>
      <w:r>
        <w:t xml:space="preserve">Report results as mg/L </w:t>
      </w:r>
      <w:r w:rsidR="00714D4A">
        <w:t>NH</w:t>
      </w:r>
      <w:r w:rsidR="00714D4A" w:rsidRPr="00714D4A">
        <w:rPr>
          <w:vertAlign w:val="subscript"/>
        </w:rPr>
        <w:t>3</w:t>
      </w:r>
      <w:r w:rsidR="00714D4A">
        <w:t>-</w:t>
      </w:r>
      <w:r>
        <w:t>N</w:t>
      </w:r>
      <w:r w:rsidR="00670193">
        <w:t xml:space="preserve">.  </w:t>
      </w:r>
    </w:p>
    <w:p w14:paraId="2F393DE1" w14:textId="77777777" w:rsidR="00C44E3F" w:rsidRDefault="00C44E3F" w:rsidP="00C44E3F">
      <w:pPr>
        <w:pStyle w:val="10SOP"/>
      </w:pPr>
      <w:r>
        <w:t>Method Detection Limits and Reporting</w:t>
      </w:r>
    </w:p>
    <w:p w14:paraId="42079C02" w14:textId="77777777" w:rsidR="0086019C" w:rsidRPr="0086019C" w:rsidRDefault="001A5BDD" w:rsidP="00C44E3F">
      <w:pPr>
        <w:pStyle w:val="11SOP"/>
      </w:pPr>
      <w:r>
        <w:rPr>
          <w:bCs/>
          <w:szCs w:val="22"/>
        </w:rPr>
        <w:t>This method has an</w:t>
      </w:r>
      <w:r w:rsidRPr="001A5BDD">
        <w:rPr>
          <w:bCs/>
          <w:szCs w:val="22"/>
        </w:rPr>
        <w:t xml:space="preserve"> applicable </w:t>
      </w:r>
      <w:r>
        <w:rPr>
          <w:bCs/>
          <w:szCs w:val="22"/>
        </w:rPr>
        <w:t>range from the LOD (about 0</w:t>
      </w:r>
      <w:r w:rsidRPr="001A5BDD">
        <w:rPr>
          <w:bCs/>
          <w:szCs w:val="22"/>
        </w:rPr>
        <w:t>.03</w:t>
      </w:r>
      <w:r>
        <w:rPr>
          <w:bCs/>
          <w:szCs w:val="22"/>
        </w:rPr>
        <w:t>)</w:t>
      </w:r>
      <w:r w:rsidRPr="001A5BDD">
        <w:rPr>
          <w:bCs/>
          <w:szCs w:val="22"/>
        </w:rPr>
        <w:t xml:space="preserve"> to 1400 mg</w:t>
      </w:r>
      <w:r>
        <w:rPr>
          <w:bCs/>
          <w:szCs w:val="22"/>
        </w:rPr>
        <w:t>/L</w:t>
      </w:r>
      <w:r w:rsidRPr="001A5BDD">
        <w:rPr>
          <w:bCs/>
          <w:szCs w:val="22"/>
        </w:rPr>
        <w:t xml:space="preserve"> NH</w:t>
      </w:r>
      <w:r w:rsidRPr="001A5BDD">
        <w:rPr>
          <w:bCs/>
          <w:szCs w:val="22"/>
          <w:vertAlign w:val="subscript"/>
        </w:rPr>
        <w:t>3</w:t>
      </w:r>
      <w:r>
        <w:rPr>
          <w:bCs/>
          <w:szCs w:val="22"/>
        </w:rPr>
        <w:t>-N</w:t>
      </w:r>
      <w:r w:rsidR="0086019C" w:rsidRPr="001A5BDD">
        <w:t xml:space="preserve">.  </w:t>
      </w:r>
      <w:r w:rsidR="0025717A" w:rsidRPr="001A5BDD">
        <w:rPr>
          <w:rFonts w:cs="Arial"/>
          <w:szCs w:val="22"/>
        </w:rPr>
        <w:t>All samples above the highest calibration standard must be diluted.  The lowest value that</w:t>
      </w:r>
      <w:r w:rsidR="0025717A" w:rsidRPr="00364816">
        <w:rPr>
          <w:rFonts w:cs="Arial"/>
          <w:szCs w:val="22"/>
        </w:rPr>
        <w:t xml:space="preserve"> can be re</w:t>
      </w:r>
      <w:r w:rsidR="00AC6704">
        <w:rPr>
          <w:rFonts w:cs="Arial"/>
          <w:szCs w:val="22"/>
        </w:rPr>
        <w:t xml:space="preserve">ported is no lower </w:t>
      </w:r>
      <w:r w:rsidR="007C43AC">
        <w:rPr>
          <w:rFonts w:cs="Arial"/>
          <w:szCs w:val="22"/>
        </w:rPr>
        <w:t>than the</w:t>
      </w:r>
      <w:r w:rsidR="00AC6704">
        <w:rPr>
          <w:rFonts w:cs="Arial"/>
          <w:szCs w:val="22"/>
        </w:rPr>
        <w:t xml:space="preserve"> MDL</w:t>
      </w:r>
      <w:r w:rsidR="0025717A">
        <w:rPr>
          <w:rFonts w:cs="Arial"/>
          <w:szCs w:val="22"/>
        </w:rPr>
        <w:t>:  report</w:t>
      </w:r>
      <w:r w:rsidR="0025717A" w:rsidRPr="00364816">
        <w:rPr>
          <w:rFonts w:cs="Arial"/>
          <w:szCs w:val="22"/>
        </w:rPr>
        <w:t xml:space="preserve"> as less than (&lt;) the </w:t>
      </w:r>
      <w:r w:rsidR="00AC6704">
        <w:rPr>
          <w:rFonts w:cs="Arial"/>
          <w:szCs w:val="22"/>
        </w:rPr>
        <w:t>MDL</w:t>
      </w:r>
      <w:r w:rsidR="0025717A" w:rsidRPr="00364816">
        <w:rPr>
          <w:rFonts w:cs="Arial"/>
          <w:szCs w:val="22"/>
        </w:rPr>
        <w:t>.</w:t>
      </w:r>
    </w:p>
    <w:p w14:paraId="38F8C634" w14:textId="77777777" w:rsidR="00C44E3F" w:rsidRDefault="0049290E" w:rsidP="00C44E3F">
      <w:pPr>
        <w:pStyle w:val="11SOP"/>
      </w:pPr>
      <w:r>
        <w:t>The</w:t>
      </w:r>
      <w:r w:rsidR="006F4477">
        <w:t xml:space="preserve"> MDL must be less than the permit limit</w:t>
      </w:r>
      <w:r w:rsidR="0094586F">
        <w:t xml:space="preserve">. </w:t>
      </w:r>
    </w:p>
    <w:p w14:paraId="3AD88BB0" w14:textId="77777777" w:rsidR="00EA3EF6" w:rsidRDefault="00EA3EF6" w:rsidP="00C44E3F">
      <w:pPr>
        <w:pStyle w:val="11SOP"/>
      </w:pPr>
      <w:r>
        <w:t>The MDL is calculated annually by following the EPA 40 CFR Part 136 Appendix B protocol.</w:t>
      </w:r>
    </w:p>
    <w:p w14:paraId="2073ADC4" w14:textId="77777777" w:rsidR="00EA3EF6" w:rsidRDefault="00EA3EF6" w:rsidP="008C2BB2">
      <w:pPr>
        <w:pStyle w:val="111SOP"/>
        <w:tabs>
          <w:tab w:val="clear" w:pos="2970"/>
          <w:tab w:val="num" w:pos="2430"/>
        </w:tabs>
        <w:ind w:left="2430" w:hanging="990"/>
      </w:pPr>
      <w:r>
        <w:t>All method blanks associated with reported results are entered into the WDNR supplied spreadsheet.</w:t>
      </w:r>
    </w:p>
    <w:p w14:paraId="10DDEEFB" w14:textId="77777777" w:rsidR="00EA3EF6" w:rsidRDefault="00EA3EF6" w:rsidP="008C2BB2">
      <w:pPr>
        <w:pStyle w:val="111SOP"/>
        <w:tabs>
          <w:tab w:val="clear" w:pos="2970"/>
          <w:tab w:val="num" w:pos="2430"/>
        </w:tabs>
        <w:ind w:left="2430" w:hanging="990"/>
      </w:pPr>
      <w:r>
        <w:t>Two spiked blanks are analyzed each quarter and entered into the WDNR supplied spreadsheet.</w:t>
      </w:r>
    </w:p>
    <w:p w14:paraId="2D25BE32" w14:textId="77777777" w:rsidR="00F609CE" w:rsidRDefault="00A5469A" w:rsidP="00F609CE">
      <w:pPr>
        <w:pStyle w:val="10SOP"/>
      </w:pPr>
      <w:r>
        <w:t>QC Data Assessment</w:t>
      </w:r>
      <w:r w:rsidR="009122CF">
        <w:t xml:space="preserve">, Acceptance Criteria, and Corrective Actions </w:t>
      </w:r>
      <w:r w:rsidR="003736F6">
        <w:t xml:space="preserve">and Contingencies </w:t>
      </w:r>
      <w:r w:rsidR="009122CF">
        <w:t>for Out-of-Control QC Measures</w:t>
      </w:r>
    </w:p>
    <w:p w14:paraId="1BFE41AF" w14:textId="77777777" w:rsidR="00653317" w:rsidRDefault="00653317" w:rsidP="00F609CE">
      <w:pPr>
        <w:pStyle w:val="11SOP"/>
      </w:pPr>
      <w:r>
        <w:t>Quality control samples</w:t>
      </w:r>
      <w:r w:rsidR="009122CF">
        <w:t xml:space="preserve"> summary</w:t>
      </w:r>
      <w:r>
        <w:t>:</w:t>
      </w:r>
    </w:p>
    <w:tbl>
      <w:tblPr>
        <w:tblStyle w:val="TableGrid"/>
        <w:tblW w:w="0" w:type="auto"/>
        <w:tblInd w:w="1525" w:type="dxa"/>
        <w:tblLook w:val="04A0" w:firstRow="1" w:lastRow="0" w:firstColumn="1" w:lastColumn="0" w:noHBand="0" w:noVBand="1"/>
      </w:tblPr>
      <w:tblGrid>
        <w:gridCol w:w="2400"/>
        <w:gridCol w:w="2910"/>
      </w:tblGrid>
      <w:tr w:rsidR="003A3F28" w14:paraId="43BA6CF9" w14:textId="77777777" w:rsidTr="000C3FD7">
        <w:tc>
          <w:tcPr>
            <w:tcW w:w="2400" w:type="dxa"/>
            <w:shd w:val="clear" w:color="auto" w:fill="BFBFBF" w:themeFill="background1" w:themeFillShade="BF"/>
            <w:vAlign w:val="center"/>
          </w:tcPr>
          <w:p w14:paraId="042A8EED" w14:textId="77777777" w:rsidR="003A3F28" w:rsidRDefault="003A3F28" w:rsidP="00C02E85">
            <w:pPr>
              <w:pStyle w:val="BodyTextIndent"/>
              <w:ind w:left="0"/>
              <w:jc w:val="center"/>
              <w:rPr>
                <w:szCs w:val="22"/>
              </w:rPr>
            </w:pPr>
            <w:r>
              <w:rPr>
                <w:szCs w:val="22"/>
              </w:rPr>
              <w:t>QC Test</w:t>
            </w:r>
          </w:p>
        </w:tc>
        <w:tc>
          <w:tcPr>
            <w:tcW w:w="2910" w:type="dxa"/>
            <w:shd w:val="clear" w:color="auto" w:fill="BFBFBF" w:themeFill="background1" w:themeFillShade="BF"/>
            <w:vAlign w:val="center"/>
          </w:tcPr>
          <w:p w14:paraId="6FB9BDFC" w14:textId="77777777" w:rsidR="003A3F28" w:rsidRDefault="003A3F28" w:rsidP="00C02E85">
            <w:pPr>
              <w:pStyle w:val="BodyTextIndent"/>
              <w:ind w:left="0"/>
              <w:jc w:val="center"/>
              <w:rPr>
                <w:szCs w:val="22"/>
              </w:rPr>
            </w:pPr>
            <w:r>
              <w:rPr>
                <w:szCs w:val="22"/>
              </w:rPr>
              <w:t>Criteria</w:t>
            </w:r>
          </w:p>
        </w:tc>
      </w:tr>
      <w:tr w:rsidR="003A3F28" w14:paraId="56791FBD" w14:textId="77777777" w:rsidTr="000C3FD7">
        <w:tc>
          <w:tcPr>
            <w:tcW w:w="2400" w:type="dxa"/>
            <w:vAlign w:val="center"/>
          </w:tcPr>
          <w:p w14:paraId="61F3732F" w14:textId="77777777" w:rsidR="003A3F28" w:rsidRDefault="003A3F28" w:rsidP="00C02E85">
            <w:pPr>
              <w:pStyle w:val="BodyTextIndent"/>
              <w:ind w:left="0"/>
              <w:jc w:val="center"/>
              <w:rPr>
                <w:szCs w:val="22"/>
              </w:rPr>
            </w:pPr>
            <w:r>
              <w:rPr>
                <w:szCs w:val="22"/>
              </w:rPr>
              <w:t>Calibration curve</w:t>
            </w:r>
          </w:p>
        </w:tc>
        <w:tc>
          <w:tcPr>
            <w:tcW w:w="2910" w:type="dxa"/>
            <w:vAlign w:val="center"/>
          </w:tcPr>
          <w:p w14:paraId="5396AD09" w14:textId="77777777" w:rsidR="003A3F28" w:rsidRDefault="000C3FD7" w:rsidP="00C02E85">
            <w:pPr>
              <w:pStyle w:val="BodyTextIndent"/>
              <w:ind w:left="0"/>
              <w:jc w:val="center"/>
              <w:rPr>
                <w:szCs w:val="22"/>
              </w:rPr>
            </w:pPr>
            <w:r>
              <w:rPr>
                <w:szCs w:val="22"/>
              </w:rPr>
              <w:t>Slope between -54 and -60</w:t>
            </w:r>
          </w:p>
        </w:tc>
      </w:tr>
      <w:tr w:rsidR="003A3F28" w14:paraId="432E6D59" w14:textId="77777777" w:rsidTr="000C3FD7">
        <w:tc>
          <w:tcPr>
            <w:tcW w:w="2400" w:type="dxa"/>
            <w:vAlign w:val="center"/>
          </w:tcPr>
          <w:p w14:paraId="7FC37DF5" w14:textId="77777777" w:rsidR="003A3F28" w:rsidRDefault="003A3F28" w:rsidP="00C02E85">
            <w:pPr>
              <w:pStyle w:val="BodyTextIndent"/>
              <w:ind w:left="0"/>
              <w:jc w:val="center"/>
              <w:rPr>
                <w:szCs w:val="22"/>
              </w:rPr>
            </w:pPr>
            <w:r>
              <w:rPr>
                <w:szCs w:val="22"/>
              </w:rPr>
              <w:t>ICV</w:t>
            </w:r>
            <w:r w:rsidR="00E96440">
              <w:rPr>
                <w:szCs w:val="22"/>
              </w:rPr>
              <w:t>/LCS</w:t>
            </w:r>
          </w:p>
        </w:tc>
        <w:tc>
          <w:tcPr>
            <w:tcW w:w="2910" w:type="dxa"/>
            <w:vAlign w:val="center"/>
          </w:tcPr>
          <w:p w14:paraId="09C41A37" w14:textId="77777777" w:rsidR="003A3F28" w:rsidRDefault="003A3F28" w:rsidP="00C02E85">
            <w:pPr>
              <w:pStyle w:val="BodyTextIndent"/>
              <w:ind w:left="0"/>
              <w:jc w:val="center"/>
              <w:rPr>
                <w:szCs w:val="22"/>
              </w:rPr>
            </w:pPr>
            <w:r>
              <w:rPr>
                <w:szCs w:val="22"/>
              </w:rPr>
              <w:t>90 – 110% true value</w:t>
            </w:r>
          </w:p>
        </w:tc>
      </w:tr>
      <w:tr w:rsidR="003A3F28" w14:paraId="4AA5E30F" w14:textId="77777777" w:rsidTr="000C3FD7">
        <w:tc>
          <w:tcPr>
            <w:tcW w:w="2400" w:type="dxa"/>
            <w:vAlign w:val="center"/>
          </w:tcPr>
          <w:p w14:paraId="6725C01A" w14:textId="77777777" w:rsidR="003A3F28" w:rsidRDefault="003A3F28" w:rsidP="00C02E85">
            <w:pPr>
              <w:pStyle w:val="BodyTextIndent"/>
              <w:ind w:left="0"/>
              <w:jc w:val="center"/>
              <w:rPr>
                <w:szCs w:val="22"/>
              </w:rPr>
            </w:pPr>
            <w:r>
              <w:rPr>
                <w:szCs w:val="22"/>
              </w:rPr>
              <w:t>Method Blank</w:t>
            </w:r>
          </w:p>
        </w:tc>
        <w:tc>
          <w:tcPr>
            <w:tcW w:w="2910" w:type="dxa"/>
            <w:vAlign w:val="center"/>
          </w:tcPr>
          <w:p w14:paraId="2E479E4E" w14:textId="77777777" w:rsidR="003A3F28" w:rsidRDefault="003A3F28" w:rsidP="00C02E85">
            <w:pPr>
              <w:pStyle w:val="BodyTextIndent"/>
              <w:ind w:left="0"/>
              <w:jc w:val="center"/>
              <w:rPr>
                <w:rFonts w:cs="Arial"/>
                <w:szCs w:val="22"/>
              </w:rPr>
            </w:pPr>
            <w:r>
              <w:rPr>
                <w:rFonts w:cs="Arial"/>
                <w:szCs w:val="22"/>
              </w:rPr>
              <w:t>≤ Highest of:</w:t>
            </w:r>
          </w:p>
          <w:p w14:paraId="0C90EFA7" w14:textId="77777777" w:rsidR="003A3F28" w:rsidRDefault="003A3F28" w:rsidP="00C02E85">
            <w:pPr>
              <w:pStyle w:val="BodyTextIndent"/>
              <w:ind w:left="0"/>
              <w:jc w:val="center"/>
              <w:rPr>
                <w:rFonts w:cs="Arial"/>
                <w:szCs w:val="22"/>
              </w:rPr>
            </w:pPr>
            <w:r>
              <w:rPr>
                <w:rFonts w:cs="Arial"/>
                <w:szCs w:val="22"/>
              </w:rPr>
              <w:t xml:space="preserve">LOD, </w:t>
            </w:r>
          </w:p>
          <w:p w14:paraId="2F46A0ED" w14:textId="77777777" w:rsidR="003A3F28" w:rsidRDefault="003A3F28" w:rsidP="00C02E85">
            <w:pPr>
              <w:pStyle w:val="BodyTextIndent"/>
              <w:ind w:left="0"/>
              <w:jc w:val="center"/>
              <w:rPr>
                <w:rFonts w:cs="Arial"/>
                <w:szCs w:val="22"/>
              </w:rPr>
            </w:pPr>
            <w:r>
              <w:rPr>
                <w:rFonts w:cs="Arial"/>
                <w:szCs w:val="22"/>
              </w:rPr>
              <w:t>5% permit limit, or</w:t>
            </w:r>
          </w:p>
          <w:p w14:paraId="439873F9" w14:textId="77777777" w:rsidR="003A3F28" w:rsidRDefault="003A3F28" w:rsidP="00C02E85">
            <w:pPr>
              <w:pStyle w:val="BodyTextIndent"/>
              <w:ind w:left="0"/>
              <w:jc w:val="center"/>
              <w:rPr>
                <w:szCs w:val="22"/>
              </w:rPr>
            </w:pPr>
            <w:r>
              <w:rPr>
                <w:rFonts w:cs="Arial"/>
                <w:szCs w:val="22"/>
              </w:rPr>
              <w:t>10% sample conc’n</w:t>
            </w:r>
          </w:p>
        </w:tc>
      </w:tr>
      <w:tr w:rsidR="00E96440" w14:paraId="6EEECB8E" w14:textId="77777777" w:rsidTr="000C3FD7">
        <w:tc>
          <w:tcPr>
            <w:tcW w:w="2400" w:type="dxa"/>
            <w:vAlign w:val="center"/>
          </w:tcPr>
          <w:p w14:paraId="59049ADA" w14:textId="77777777" w:rsidR="00E96440" w:rsidRDefault="00E96440" w:rsidP="00E96440">
            <w:pPr>
              <w:pStyle w:val="BodyTextIndent"/>
              <w:ind w:left="0"/>
              <w:jc w:val="center"/>
              <w:rPr>
                <w:szCs w:val="22"/>
              </w:rPr>
            </w:pPr>
            <w:r>
              <w:rPr>
                <w:szCs w:val="22"/>
              </w:rPr>
              <w:t>CCV (if more than 20 samples are run)</w:t>
            </w:r>
          </w:p>
        </w:tc>
        <w:tc>
          <w:tcPr>
            <w:tcW w:w="2910" w:type="dxa"/>
            <w:vAlign w:val="center"/>
          </w:tcPr>
          <w:p w14:paraId="20B58652" w14:textId="77777777" w:rsidR="00E96440" w:rsidRDefault="00E96440" w:rsidP="00E96440">
            <w:pPr>
              <w:pStyle w:val="BodyTextIndent"/>
              <w:ind w:left="0"/>
              <w:jc w:val="center"/>
              <w:rPr>
                <w:szCs w:val="22"/>
              </w:rPr>
            </w:pPr>
            <w:r>
              <w:rPr>
                <w:szCs w:val="22"/>
              </w:rPr>
              <w:t>90 – 110% true value</w:t>
            </w:r>
          </w:p>
        </w:tc>
      </w:tr>
    </w:tbl>
    <w:p w14:paraId="5A0409A2" w14:textId="77777777" w:rsidR="00AF45D6" w:rsidRDefault="00AF45D6" w:rsidP="00AF45D6">
      <w:pPr>
        <w:pStyle w:val="11SOP"/>
        <w:numPr>
          <w:ilvl w:val="0"/>
          <w:numId w:val="0"/>
        </w:numPr>
      </w:pPr>
    </w:p>
    <w:p w14:paraId="67F28037" w14:textId="77777777" w:rsidR="00AF45D6" w:rsidRDefault="00AF45D6" w:rsidP="001B67AF">
      <w:pPr>
        <w:pStyle w:val="11SOP"/>
      </w:pPr>
      <w:r>
        <w:t xml:space="preserve">If the calibration </w:t>
      </w:r>
      <w:bookmarkStart w:id="2" w:name="_Hlk519595620"/>
      <w:r w:rsidR="000C3FD7">
        <w:t>slope is not between -54 and -60</w:t>
      </w:r>
      <w:r>
        <w:rPr>
          <w:rFonts w:cs="Arial"/>
        </w:rPr>
        <w:t xml:space="preserve">, recalibrate.  </w:t>
      </w:r>
      <w:r w:rsidR="00110E99">
        <w:rPr>
          <w:rFonts w:cs="Arial"/>
        </w:rPr>
        <w:t xml:space="preserve">The slope between each standard should also be between -54 and -60.  </w:t>
      </w:r>
      <w:r>
        <w:rPr>
          <w:rFonts w:cs="Arial"/>
        </w:rPr>
        <w:t>Corrective actions may also include preparing new calibration standards</w:t>
      </w:r>
      <w:bookmarkEnd w:id="2"/>
      <w:r w:rsidR="007D382D">
        <w:rPr>
          <w:rFonts w:cs="Arial"/>
        </w:rPr>
        <w:t xml:space="preserve"> or replacing the probe membrane.</w:t>
      </w:r>
      <w:r w:rsidR="00110E99">
        <w:rPr>
          <w:rFonts w:cs="Arial"/>
        </w:rPr>
        <w:t xml:space="preserve"> </w:t>
      </w:r>
    </w:p>
    <w:p w14:paraId="5D2D9B31" w14:textId="77777777" w:rsidR="001B67AF" w:rsidRDefault="001B67AF" w:rsidP="001B67AF">
      <w:pPr>
        <w:pStyle w:val="11SOP"/>
      </w:pPr>
      <w:r>
        <w:t>If the ICV</w:t>
      </w:r>
      <w:r w:rsidR="00E96440">
        <w:t>/LCS</w:t>
      </w:r>
      <w:r>
        <w:t xml:space="preserve"> is not 90-110% of the true value, re-make the ICV</w:t>
      </w:r>
      <w:r w:rsidR="00E96440">
        <w:t>/LCS</w:t>
      </w:r>
      <w:r>
        <w:t xml:space="preserve"> solution and reanalyze.  If the ICV</w:t>
      </w:r>
      <w:r w:rsidR="00E96440">
        <w:t>/LCS</w:t>
      </w:r>
      <w:r>
        <w:t xml:space="preserve"> still does not pass, re-calibrate.</w:t>
      </w:r>
    </w:p>
    <w:p w14:paraId="39A77F24" w14:textId="77777777" w:rsidR="001B67AF" w:rsidRDefault="001B67AF" w:rsidP="001B67AF">
      <w:pPr>
        <w:pStyle w:val="11SOP"/>
      </w:pPr>
      <w:r>
        <w:t xml:space="preserve">If the method blank is not </w:t>
      </w:r>
      <w:r>
        <w:rPr>
          <w:rFonts w:cs="Arial"/>
        </w:rPr>
        <w:t>≤</w:t>
      </w:r>
      <w:r>
        <w:t>LOD (or 5% of the permit limit or 10% sample concentration), reanalyze.  If it is still out of range, qualify the data.</w:t>
      </w:r>
    </w:p>
    <w:p w14:paraId="69C567D6" w14:textId="77777777" w:rsidR="001B67AF" w:rsidRDefault="00E96440" w:rsidP="001B67AF">
      <w:pPr>
        <w:pStyle w:val="11SOP"/>
      </w:pPr>
      <w:r>
        <w:lastRenderedPageBreak/>
        <w:t>If the CCV</w:t>
      </w:r>
      <w:r w:rsidR="001B67AF">
        <w:t xml:space="preserve"> is not 90-110% of the true value, take corrective ac</w:t>
      </w:r>
      <w:r>
        <w:t>tion such as re-make the CCV</w:t>
      </w:r>
      <w:r w:rsidR="001B67AF">
        <w:t xml:space="preserve"> solution and reanalyze.  If the CCV still does not pass, re-calibrate.</w:t>
      </w:r>
    </w:p>
    <w:p w14:paraId="552D5BD3" w14:textId="77777777" w:rsidR="000F16EB" w:rsidRDefault="000F16EB" w:rsidP="000F16EB">
      <w:pPr>
        <w:pStyle w:val="11SOP"/>
      </w:pPr>
      <w:r w:rsidRPr="00A5469A">
        <w:t>Qualify all sample results with method blank or CCV exceedances on the bench sheet and the eDMR.</w:t>
      </w:r>
    </w:p>
    <w:p w14:paraId="48289ABF" w14:textId="77777777" w:rsidR="000F16EB" w:rsidRDefault="000F16EB" w:rsidP="00AB61BE">
      <w:pPr>
        <w:pStyle w:val="111SOP"/>
        <w:tabs>
          <w:tab w:val="clear" w:pos="2970"/>
          <w:tab w:val="num" w:pos="2430"/>
        </w:tabs>
        <w:ind w:left="2430" w:hanging="990"/>
      </w:pPr>
      <w:r w:rsidRPr="00A5469A">
        <w:t>Samples that fail the Quality Control will have to be qualified back to the last date that the quality control met the above conditions.  Include a lab comment on the DMR.</w:t>
      </w:r>
    </w:p>
    <w:p w14:paraId="58C57D35" w14:textId="77777777" w:rsidR="001B67AF" w:rsidRDefault="001B67AF" w:rsidP="001B67AF">
      <w:pPr>
        <w:pStyle w:val="11SOP"/>
      </w:pPr>
      <w:r>
        <w:t>The Proficiency Testing (PT) sample must be within the criteria of the provider. If the criteria limits are not met, the technician must immediately order another sample to be analyzed.</w:t>
      </w:r>
    </w:p>
    <w:p w14:paraId="2B6142B5" w14:textId="77777777" w:rsidR="001B67AF" w:rsidRDefault="001B67AF" w:rsidP="001B67AF">
      <w:pPr>
        <w:pStyle w:val="11SOP"/>
      </w:pPr>
      <w:r>
        <w:t>For any of the above items or if there are any other obvious errors or deviations from the standard operating conditions, complete the Corrective Actions Log and resolve the problem.  Notify the Supervisor.</w:t>
      </w:r>
    </w:p>
    <w:p w14:paraId="4D48D52C" w14:textId="77777777" w:rsidR="001B67AF" w:rsidRDefault="001B67AF" w:rsidP="00AF45D6">
      <w:pPr>
        <w:pStyle w:val="111SOP"/>
        <w:tabs>
          <w:tab w:val="clear" w:pos="2970"/>
          <w:tab w:val="num" w:pos="2430"/>
        </w:tabs>
        <w:ind w:left="2430" w:hanging="990"/>
      </w:pPr>
      <w:r>
        <w:t xml:space="preserve">If results are unacceptable, take appropriate corrective action.  This may include </w:t>
      </w:r>
      <w:r w:rsidR="000C3FD7">
        <w:t xml:space="preserve">changing the probe membrane, </w:t>
      </w:r>
      <w:r>
        <w:t>acid washing all containers, checking the water source, checking expiration dates, and documenting any changes or adjustments made.</w:t>
      </w:r>
    </w:p>
    <w:p w14:paraId="7E26D465" w14:textId="77777777" w:rsidR="000F16EB" w:rsidRPr="00A5469A" w:rsidRDefault="000F16EB" w:rsidP="00AF45D6">
      <w:pPr>
        <w:pStyle w:val="111SOP"/>
        <w:tabs>
          <w:tab w:val="clear" w:pos="2970"/>
          <w:tab w:val="num" w:pos="2430"/>
        </w:tabs>
        <w:ind w:left="2430" w:hanging="990"/>
      </w:pPr>
      <w:r w:rsidRPr="00A5469A">
        <w:t>Complete the Corrective Actions in the log sheets. Enter in all information as completely as possible, even if the short-term reasons for failures are not clear.</w:t>
      </w:r>
    </w:p>
    <w:p w14:paraId="32AF179C" w14:textId="77777777" w:rsidR="001B67AF" w:rsidRPr="00A5469A" w:rsidRDefault="001B67AF" w:rsidP="000F16EB">
      <w:pPr>
        <w:pStyle w:val="111SOP"/>
        <w:tabs>
          <w:tab w:val="clear" w:pos="2970"/>
          <w:tab w:val="num" w:pos="2430"/>
        </w:tabs>
        <w:ind w:left="2430" w:hanging="990"/>
      </w:pPr>
      <w:r>
        <w:t xml:space="preserve">Seek help from an outside source if specific QC issues cannot be resolved.  These sources may be another lab, the Wisconsin Rural Water Association </w:t>
      </w:r>
      <w:r w:rsidRPr="00A5469A">
        <w:t>wastewater trainer, or the facility’s lab auditor.</w:t>
      </w:r>
    </w:p>
    <w:p w14:paraId="02298B53" w14:textId="77777777" w:rsidR="000B7F23" w:rsidRDefault="000B7F23" w:rsidP="000B7F23">
      <w:pPr>
        <w:pStyle w:val="10SOP"/>
      </w:pPr>
      <w:r>
        <w:t>Pollution Prevention</w:t>
      </w:r>
    </w:p>
    <w:p w14:paraId="0ED2A5DA" w14:textId="77777777" w:rsidR="000B7F23" w:rsidRDefault="000B7F23" w:rsidP="000B7F23">
      <w:pPr>
        <w:pStyle w:val="11SOP"/>
      </w:pPr>
      <w:r>
        <w:rPr>
          <w:snapToGrid w:val="0"/>
        </w:rPr>
        <w:t>Consider environmental impact when purchasing materials, handling chemicals, and disposing of wastes.</w:t>
      </w:r>
    </w:p>
    <w:p w14:paraId="4231669A" w14:textId="77777777" w:rsidR="000B7F23" w:rsidRDefault="000B7F23" w:rsidP="000B7F23">
      <w:pPr>
        <w:pStyle w:val="11SOP"/>
      </w:pPr>
      <w:r>
        <w:rPr>
          <w:snapToGrid w:val="0"/>
        </w:rPr>
        <w:t>Prevent pollution at the source whenever possible.</w:t>
      </w:r>
    </w:p>
    <w:p w14:paraId="7C39FA95" w14:textId="77777777" w:rsidR="00F609CE" w:rsidRDefault="00F609CE" w:rsidP="00F609CE">
      <w:pPr>
        <w:pStyle w:val="10SOP"/>
      </w:pPr>
      <w:r>
        <w:t>Waste Management</w:t>
      </w:r>
    </w:p>
    <w:p w14:paraId="574F21C2" w14:textId="77777777" w:rsidR="00F609CE" w:rsidRDefault="00AE6BC8" w:rsidP="00F609CE">
      <w:pPr>
        <w:pStyle w:val="11SOP"/>
      </w:pPr>
      <w:r>
        <w:t>All laboratory waste, excess reagents, and samples must be disposed of in a manner that is consistent with applicable rules and regulations</w:t>
      </w:r>
      <w:r w:rsidR="00F609CE">
        <w:t>.</w:t>
      </w:r>
    </w:p>
    <w:p w14:paraId="11CF0498" w14:textId="77777777" w:rsidR="00D715D0" w:rsidRPr="00D040A1" w:rsidRDefault="00F609CE" w:rsidP="00D715D0">
      <w:pPr>
        <w:pStyle w:val="10SOP"/>
      </w:pPr>
      <w:r w:rsidRPr="00D040A1">
        <w:t>References</w:t>
      </w:r>
    </w:p>
    <w:p w14:paraId="4DEFEB06" w14:textId="77777777" w:rsidR="00653317" w:rsidRPr="00D040A1" w:rsidRDefault="00D040A1" w:rsidP="009501C1">
      <w:pPr>
        <w:pStyle w:val="11SOP"/>
      </w:pPr>
      <w:r w:rsidRPr="00D040A1">
        <w:t>Standard Methods for the Examination of Water and Wastewater, Method 4500-NH</w:t>
      </w:r>
      <w:r w:rsidRPr="00D040A1">
        <w:rPr>
          <w:vertAlign w:val="subscript"/>
        </w:rPr>
        <w:t>3</w:t>
      </w:r>
      <w:r w:rsidRPr="00D040A1">
        <w:t>, 1997</w:t>
      </w:r>
      <w:r w:rsidR="00D1110D" w:rsidRPr="00D040A1">
        <w:t>.</w:t>
      </w:r>
    </w:p>
    <w:p w14:paraId="08181AAD" w14:textId="77777777" w:rsidR="00182C12" w:rsidRPr="00BE1ED2" w:rsidRDefault="00182C12" w:rsidP="00D715D0">
      <w:pPr>
        <w:pStyle w:val="11SOP"/>
      </w:pPr>
      <w:r w:rsidRPr="00BE1ED2">
        <w:rPr>
          <w:rFonts w:cs="Arial"/>
          <w:szCs w:val="22"/>
        </w:rPr>
        <w:t xml:space="preserve">Evaluation </w:t>
      </w:r>
      <w:r w:rsidR="00BE1ED2" w:rsidRPr="00BE1ED2">
        <w:rPr>
          <w:rFonts w:cs="Arial"/>
          <w:szCs w:val="22"/>
        </w:rPr>
        <w:t>of Preliminary Distillation Prior to Ion Selective Electrode Determination of Ammonia in Municipal Wastewater Effluent</w:t>
      </w:r>
      <w:r w:rsidRPr="00BE1ED2">
        <w:rPr>
          <w:rFonts w:cs="Arial"/>
          <w:szCs w:val="22"/>
        </w:rPr>
        <w:t xml:space="preserve">, </w:t>
      </w:r>
      <w:r w:rsidR="00BE1ED2" w:rsidRPr="00BE1ED2">
        <w:rPr>
          <w:rFonts w:cs="Arial"/>
          <w:szCs w:val="22"/>
        </w:rPr>
        <w:t>Wisconsin State Laboratory of Hygiene, University of Wisconsin-Madison.  March 1986</w:t>
      </w:r>
      <w:r w:rsidRPr="00BE1ED2">
        <w:rPr>
          <w:rFonts w:cs="Arial"/>
          <w:szCs w:val="22"/>
        </w:rPr>
        <w:t>.</w:t>
      </w:r>
    </w:p>
    <w:p w14:paraId="1FC41BFE" w14:textId="77777777" w:rsidR="00182C12" w:rsidRPr="00F969CC" w:rsidRDefault="00A31E45" w:rsidP="00182C12">
      <w:pPr>
        <w:pStyle w:val="10SOP"/>
      </w:pPr>
      <w:bookmarkStart w:id="3" w:name="_Hlk513536358"/>
      <w:r>
        <w:lastRenderedPageBreak/>
        <w:t>Disclaimer</w:t>
      </w:r>
      <w:r w:rsidR="00182C12" w:rsidRPr="00F969CC">
        <w:t xml:space="preserve"> </w:t>
      </w:r>
    </w:p>
    <w:p w14:paraId="41729B24" w14:textId="77777777" w:rsidR="00182C12" w:rsidRPr="00182C12" w:rsidRDefault="00182C12" w:rsidP="00BE3957">
      <w:pPr>
        <w:pStyle w:val="11SOP"/>
        <w:rPr>
          <w:b/>
        </w:rPr>
      </w:pPr>
      <w:r w:rsidRPr="00182C12">
        <w:t>The mentioning of company or product names does not constitute endorsement by the Wisconsin Department of Natural Resources or the authors.</w:t>
      </w:r>
    </w:p>
    <w:bookmarkEnd w:id="3"/>
    <w:p w14:paraId="64B692EF" w14:textId="77777777" w:rsidR="00653317" w:rsidRDefault="00653317" w:rsidP="00653317">
      <w:pPr>
        <w:pStyle w:val="11SOP"/>
        <w:numPr>
          <w:ilvl w:val="0"/>
          <w:numId w:val="0"/>
        </w:numPr>
      </w:pPr>
    </w:p>
    <w:sectPr w:rsidR="00653317" w:rsidSect="00A31E45">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379DD" w14:textId="77777777" w:rsidR="004F3483" w:rsidRDefault="004F3483">
      <w:r>
        <w:separator/>
      </w:r>
    </w:p>
  </w:endnote>
  <w:endnote w:type="continuationSeparator" w:id="0">
    <w:p w14:paraId="2495D353" w14:textId="77777777" w:rsidR="004F3483" w:rsidRDefault="004F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4AC45" w14:textId="77777777" w:rsidR="00BE1ED2" w:rsidRPr="007F5D38" w:rsidRDefault="00BE1ED2" w:rsidP="007F5D38">
    <w:pPr>
      <w:pStyle w:val="Footer"/>
      <w:jc w:val="right"/>
      <w:rPr>
        <w:rFonts w:ascii="Arial" w:hAnsi="Arial" w:cs="Arial"/>
        <w:sz w:val="20"/>
      </w:rPr>
    </w:pPr>
    <w:r w:rsidRPr="007F5D38">
      <w:rPr>
        <w:rFonts w:ascii="Arial" w:hAnsi="Arial" w:cs="Arial"/>
        <w:sz w:val="20"/>
      </w:rPr>
      <w:t xml:space="preserve">Page </w:t>
    </w:r>
    <w:r w:rsidRPr="007F5D38">
      <w:rPr>
        <w:rFonts w:ascii="Arial" w:hAnsi="Arial" w:cs="Arial"/>
        <w:sz w:val="20"/>
      </w:rPr>
      <w:fldChar w:fldCharType="begin"/>
    </w:r>
    <w:r w:rsidRPr="007F5D38">
      <w:rPr>
        <w:rFonts w:ascii="Arial" w:hAnsi="Arial" w:cs="Arial"/>
        <w:sz w:val="20"/>
      </w:rPr>
      <w:instrText xml:space="preserve"> PAGE </w:instrText>
    </w:r>
    <w:r w:rsidRPr="007F5D38">
      <w:rPr>
        <w:rFonts w:ascii="Arial" w:hAnsi="Arial" w:cs="Arial"/>
        <w:sz w:val="20"/>
      </w:rPr>
      <w:fldChar w:fldCharType="separate"/>
    </w:r>
    <w:r w:rsidR="005666E9">
      <w:rPr>
        <w:rFonts w:ascii="Arial" w:hAnsi="Arial" w:cs="Arial"/>
        <w:noProof/>
        <w:sz w:val="20"/>
      </w:rPr>
      <w:t>2</w:t>
    </w:r>
    <w:r w:rsidRPr="007F5D38">
      <w:rPr>
        <w:rFonts w:ascii="Arial" w:hAnsi="Arial" w:cs="Arial"/>
        <w:sz w:val="20"/>
      </w:rPr>
      <w:fldChar w:fldCharType="end"/>
    </w:r>
    <w:r w:rsidRPr="007F5D38">
      <w:rPr>
        <w:rFonts w:ascii="Arial" w:hAnsi="Arial" w:cs="Arial"/>
        <w:sz w:val="20"/>
      </w:rPr>
      <w:t xml:space="preserve"> of </w:t>
    </w:r>
    <w:r w:rsidRPr="007F5D38">
      <w:rPr>
        <w:rFonts w:ascii="Arial" w:hAnsi="Arial" w:cs="Arial"/>
        <w:sz w:val="20"/>
      </w:rPr>
      <w:fldChar w:fldCharType="begin"/>
    </w:r>
    <w:r w:rsidRPr="007F5D38">
      <w:rPr>
        <w:rFonts w:ascii="Arial" w:hAnsi="Arial" w:cs="Arial"/>
        <w:sz w:val="20"/>
      </w:rPr>
      <w:instrText xml:space="preserve"> NUMPAGES </w:instrText>
    </w:r>
    <w:r w:rsidRPr="007F5D38">
      <w:rPr>
        <w:rFonts w:ascii="Arial" w:hAnsi="Arial" w:cs="Arial"/>
        <w:sz w:val="20"/>
      </w:rPr>
      <w:fldChar w:fldCharType="separate"/>
    </w:r>
    <w:r w:rsidR="005666E9">
      <w:rPr>
        <w:rFonts w:ascii="Arial" w:hAnsi="Arial" w:cs="Arial"/>
        <w:noProof/>
        <w:sz w:val="20"/>
      </w:rPr>
      <w:t>7</w:t>
    </w:r>
    <w:r w:rsidRPr="007F5D38">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6E606" w14:textId="77777777" w:rsidR="004F3483" w:rsidRDefault="004F3483">
      <w:r>
        <w:separator/>
      </w:r>
    </w:p>
  </w:footnote>
  <w:footnote w:type="continuationSeparator" w:id="0">
    <w:p w14:paraId="72419BCA" w14:textId="77777777" w:rsidR="004F3483" w:rsidRDefault="004F3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6CA4"/>
    <w:multiLevelType w:val="hybridMultilevel"/>
    <w:tmpl w:val="58D67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70473"/>
    <w:multiLevelType w:val="multilevel"/>
    <w:tmpl w:val="F56A7882"/>
    <w:lvl w:ilvl="0">
      <w:start w:val="1"/>
      <w:numFmt w:val="decimal"/>
      <w:pStyle w:val="10SOP"/>
      <w:lvlText w:val="%1.0"/>
      <w:lvlJc w:val="left"/>
      <w:pPr>
        <w:tabs>
          <w:tab w:val="num" w:pos="8460"/>
        </w:tabs>
        <w:ind w:left="8460" w:hanging="720"/>
      </w:pPr>
      <w:rPr>
        <w:rFonts w:ascii="Arial" w:hAnsi="Arial" w:hint="default"/>
        <w:b/>
        <w:i w:val="0"/>
        <w:sz w:val="22"/>
      </w:rPr>
    </w:lvl>
    <w:lvl w:ilvl="1">
      <w:start w:val="1"/>
      <w:numFmt w:val="decimal"/>
      <w:pStyle w:val="11SOP"/>
      <w:lvlText w:val="%1.%2"/>
      <w:lvlJc w:val="left"/>
      <w:pPr>
        <w:tabs>
          <w:tab w:val="num" w:pos="2070"/>
        </w:tabs>
        <w:ind w:left="2070" w:hanging="720"/>
      </w:pPr>
      <w:rPr>
        <w:rFonts w:ascii="Arial" w:hAnsi="Arial" w:hint="default"/>
        <w:b/>
        <w:i w:val="0"/>
        <w:sz w:val="22"/>
      </w:rPr>
    </w:lvl>
    <w:lvl w:ilvl="2">
      <w:start w:val="1"/>
      <w:numFmt w:val="decimal"/>
      <w:pStyle w:val="111SOP"/>
      <w:lvlText w:val="%1.%2.%3."/>
      <w:lvlJc w:val="left"/>
      <w:pPr>
        <w:tabs>
          <w:tab w:val="num" w:pos="2970"/>
        </w:tabs>
        <w:ind w:left="2970" w:hanging="1080"/>
      </w:pPr>
      <w:rPr>
        <w:rFonts w:ascii="Arial" w:hAnsi="Arial" w:hint="default"/>
        <w:b/>
        <w:i w:val="0"/>
        <w:sz w:val="22"/>
      </w:rPr>
    </w:lvl>
    <w:lvl w:ilvl="3">
      <w:start w:val="1"/>
      <w:numFmt w:val="decimal"/>
      <w:pStyle w:val="1111SOP"/>
      <w:lvlText w:val="%1.%2.%3.%4."/>
      <w:lvlJc w:val="left"/>
      <w:pPr>
        <w:tabs>
          <w:tab w:val="num" w:pos="3600"/>
        </w:tabs>
        <w:ind w:left="3600" w:hanging="1080"/>
      </w:pPr>
      <w:rPr>
        <w:rFonts w:ascii="Arial" w:hAnsi="Arial" w:hint="default"/>
        <w:b/>
        <w:i w:val="0"/>
        <w:sz w:val="22"/>
      </w:rPr>
    </w:lvl>
    <w:lvl w:ilvl="4">
      <w:start w:val="1"/>
      <w:numFmt w:val="decimal"/>
      <w:pStyle w:val="11111SOP"/>
      <w:lvlText w:val="%1.%2.%3.%4.%5."/>
      <w:lvlJc w:val="left"/>
      <w:pPr>
        <w:tabs>
          <w:tab w:val="num" w:pos="4680"/>
        </w:tabs>
        <w:ind w:left="4680" w:hanging="1080"/>
      </w:pPr>
      <w:rPr>
        <w:rFonts w:ascii="Arial" w:hAnsi="Arial" w:hint="default"/>
        <w:b/>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CCF3135"/>
    <w:multiLevelType w:val="hybridMultilevel"/>
    <w:tmpl w:val="0BB0B8E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ACE14C4"/>
    <w:multiLevelType w:val="hybridMultilevel"/>
    <w:tmpl w:val="4B3CBC6A"/>
    <w:lvl w:ilvl="0" w:tplc="9F72721E">
      <w:start w:val="1"/>
      <w:numFmt w:val="decimal"/>
      <w:lvlText w:val="%1."/>
      <w:lvlJc w:val="left"/>
      <w:pPr>
        <w:ind w:left="720" w:hanging="360"/>
      </w:pPr>
      <w:rPr>
        <w:i w:val="0"/>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A21D6"/>
    <w:multiLevelType w:val="hybridMultilevel"/>
    <w:tmpl w:val="B1163D3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EFF4A0E"/>
    <w:multiLevelType w:val="multilevel"/>
    <w:tmpl w:val="E222EA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hAnsi="Times New Roman" w:cs="Times New Roman" w:hint="default"/>
        <w:b w:val="0"/>
        <w:sz w:val="24"/>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4"/>
  </w:num>
  <w:num w:numId="8">
    <w:abstractNumId w:val="2"/>
  </w:num>
  <w:num w:numId="9">
    <w:abstractNumId w:val="3"/>
  </w:num>
  <w:num w:numId="10">
    <w:abstractNumId w:val="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CE"/>
    <w:rsid w:val="00010DFD"/>
    <w:rsid w:val="000120A1"/>
    <w:rsid w:val="00013B57"/>
    <w:rsid w:val="0002243B"/>
    <w:rsid w:val="000411E9"/>
    <w:rsid w:val="00043E6D"/>
    <w:rsid w:val="00046C43"/>
    <w:rsid w:val="00071D01"/>
    <w:rsid w:val="000762D0"/>
    <w:rsid w:val="00086043"/>
    <w:rsid w:val="00087A3B"/>
    <w:rsid w:val="000B4881"/>
    <w:rsid w:val="000B6B13"/>
    <w:rsid w:val="000B7F23"/>
    <w:rsid w:val="000C3FD7"/>
    <w:rsid w:val="000D1CEC"/>
    <w:rsid w:val="000E04B4"/>
    <w:rsid w:val="000F16EB"/>
    <w:rsid w:val="000F3293"/>
    <w:rsid w:val="00102157"/>
    <w:rsid w:val="00103032"/>
    <w:rsid w:val="0010368E"/>
    <w:rsid w:val="0010386C"/>
    <w:rsid w:val="00110E99"/>
    <w:rsid w:val="001240AA"/>
    <w:rsid w:val="00130017"/>
    <w:rsid w:val="001375C1"/>
    <w:rsid w:val="001419C3"/>
    <w:rsid w:val="001531C4"/>
    <w:rsid w:val="001644C6"/>
    <w:rsid w:val="001647EA"/>
    <w:rsid w:val="001670EE"/>
    <w:rsid w:val="001671DA"/>
    <w:rsid w:val="00181E3A"/>
    <w:rsid w:val="00182C12"/>
    <w:rsid w:val="001865A3"/>
    <w:rsid w:val="00193972"/>
    <w:rsid w:val="00196529"/>
    <w:rsid w:val="001A0DF4"/>
    <w:rsid w:val="001A3133"/>
    <w:rsid w:val="001A5BDD"/>
    <w:rsid w:val="001B0846"/>
    <w:rsid w:val="001B109B"/>
    <w:rsid w:val="001B225C"/>
    <w:rsid w:val="001B67AF"/>
    <w:rsid w:val="001D1F3C"/>
    <w:rsid w:val="001F3BA7"/>
    <w:rsid w:val="002019E5"/>
    <w:rsid w:val="00242138"/>
    <w:rsid w:val="00243C1A"/>
    <w:rsid w:val="00250E8D"/>
    <w:rsid w:val="0025456A"/>
    <w:rsid w:val="0025717A"/>
    <w:rsid w:val="00266E17"/>
    <w:rsid w:val="00280D53"/>
    <w:rsid w:val="002823D1"/>
    <w:rsid w:val="00284468"/>
    <w:rsid w:val="002B2E06"/>
    <w:rsid w:val="002B4857"/>
    <w:rsid w:val="002B7FA9"/>
    <w:rsid w:val="002D20E9"/>
    <w:rsid w:val="002D27CF"/>
    <w:rsid w:val="002E5DA9"/>
    <w:rsid w:val="00342077"/>
    <w:rsid w:val="00345E9D"/>
    <w:rsid w:val="00353D6E"/>
    <w:rsid w:val="00370A84"/>
    <w:rsid w:val="003736F6"/>
    <w:rsid w:val="00374B04"/>
    <w:rsid w:val="00384CA2"/>
    <w:rsid w:val="00385B07"/>
    <w:rsid w:val="003A3F28"/>
    <w:rsid w:val="003A5E4E"/>
    <w:rsid w:val="003A7425"/>
    <w:rsid w:val="003C4A57"/>
    <w:rsid w:val="00402CE2"/>
    <w:rsid w:val="004329D9"/>
    <w:rsid w:val="00432B22"/>
    <w:rsid w:val="00443D73"/>
    <w:rsid w:val="00446131"/>
    <w:rsid w:val="00452C4F"/>
    <w:rsid w:val="00455E7E"/>
    <w:rsid w:val="0046794D"/>
    <w:rsid w:val="004829F6"/>
    <w:rsid w:val="00486837"/>
    <w:rsid w:val="0049290E"/>
    <w:rsid w:val="00494426"/>
    <w:rsid w:val="004A2241"/>
    <w:rsid w:val="004A562B"/>
    <w:rsid w:val="004B4AE3"/>
    <w:rsid w:val="004C48AD"/>
    <w:rsid w:val="004C5164"/>
    <w:rsid w:val="004E4587"/>
    <w:rsid w:val="004F3483"/>
    <w:rsid w:val="00513196"/>
    <w:rsid w:val="005269BC"/>
    <w:rsid w:val="00531ABB"/>
    <w:rsid w:val="00540555"/>
    <w:rsid w:val="00556451"/>
    <w:rsid w:val="00562A94"/>
    <w:rsid w:val="00564DB0"/>
    <w:rsid w:val="005666E9"/>
    <w:rsid w:val="0057140D"/>
    <w:rsid w:val="00576A8F"/>
    <w:rsid w:val="00580C27"/>
    <w:rsid w:val="00582813"/>
    <w:rsid w:val="00583B23"/>
    <w:rsid w:val="0058665B"/>
    <w:rsid w:val="005A5EEA"/>
    <w:rsid w:val="005B6201"/>
    <w:rsid w:val="005D5EEF"/>
    <w:rsid w:val="005E2E37"/>
    <w:rsid w:val="0060430D"/>
    <w:rsid w:val="00605E7E"/>
    <w:rsid w:val="00614BE2"/>
    <w:rsid w:val="006267D0"/>
    <w:rsid w:val="00630131"/>
    <w:rsid w:val="00633B14"/>
    <w:rsid w:val="00646100"/>
    <w:rsid w:val="00653317"/>
    <w:rsid w:val="00660A6A"/>
    <w:rsid w:val="00664642"/>
    <w:rsid w:val="00670193"/>
    <w:rsid w:val="00673A7D"/>
    <w:rsid w:val="00685797"/>
    <w:rsid w:val="00690C9F"/>
    <w:rsid w:val="00690EC9"/>
    <w:rsid w:val="006927B0"/>
    <w:rsid w:val="006A1E63"/>
    <w:rsid w:val="006B5593"/>
    <w:rsid w:val="006C450E"/>
    <w:rsid w:val="006C6551"/>
    <w:rsid w:val="006C7F88"/>
    <w:rsid w:val="006D0E91"/>
    <w:rsid w:val="006D11E1"/>
    <w:rsid w:val="006D24C3"/>
    <w:rsid w:val="006E1C19"/>
    <w:rsid w:val="006E241C"/>
    <w:rsid w:val="006E4636"/>
    <w:rsid w:val="006F4477"/>
    <w:rsid w:val="00702966"/>
    <w:rsid w:val="007051AD"/>
    <w:rsid w:val="00712AA7"/>
    <w:rsid w:val="00714D4A"/>
    <w:rsid w:val="00715B29"/>
    <w:rsid w:val="00720295"/>
    <w:rsid w:val="00730E97"/>
    <w:rsid w:val="00743F40"/>
    <w:rsid w:val="00750779"/>
    <w:rsid w:val="00755AC7"/>
    <w:rsid w:val="007771E3"/>
    <w:rsid w:val="007830B9"/>
    <w:rsid w:val="007931B8"/>
    <w:rsid w:val="007A174C"/>
    <w:rsid w:val="007A7D2A"/>
    <w:rsid w:val="007C43AC"/>
    <w:rsid w:val="007D382D"/>
    <w:rsid w:val="007D3ABD"/>
    <w:rsid w:val="007E0035"/>
    <w:rsid w:val="007F052F"/>
    <w:rsid w:val="007F2F4F"/>
    <w:rsid w:val="007F5D38"/>
    <w:rsid w:val="007F6ED3"/>
    <w:rsid w:val="00802F73"/>
    <w:rsid w:val="008064C1"/>
    <w:rsid w:val="00817AE3"/>
    <w:rsid w:val="008438F0"/>
    <w:rsid w:val="00856BD4"/>
    <w:rsid w:val="0086019C"/>
    <w:rsid w:val="0086241D"/>
    <w:rsid w:val="00875CFF"/>
    <w:rsid w:val="00881CAA"/>
    <w:rsid w:val="00886ABD"/>
    <w:rsid w:val="0089648A"/>
    <w:rsid w:val="008971D5"/>
    <w:rsid w:val="008C0C1F"/>
    <w:rsid w:val="008C2BB2"/>
    <w:rsid w:val="008E5E25"/>
    <w:rsid w:val="00900929"/>
    <w:rsid w:val="009054E2"/>
    <w:rsid w:val="009122CF"/>
    <w:rsid w:val="00923F3F"/>
    <w:rsid w:val="00930A5F"/>
    <w:rsid w:val="00931FB9"/>
    <w:rsid w:val="009320ED"/>
    <w:rsid w:val="009361C9"/>
    <w:rsid w:val="00936E06"/>
    <w:rsid w:val="009404A5"/>
    <w:rsid w:val="00941588"/>
    <w:rsid w:val="0094586F"/>
    <w:rsid w:val="009501C1"/>
    <w:rsid w:val="00957C2E"/>
    <w:rsid w:val="00963364"/>
    <w:rsid w:val="0099383B"/>
    <w:rsid w:val="009B03DC"/>
    <w:rsid w:val="009C7CDA"/>
    <w:rsid w:val="009D09FD"/>
    <w:rsid w:val="009D3ACD"/>
    <w:rsid w:val="009E022E"/>
    <w:rsid w:val="009E5A6B"/>
    <w:rsid w:val="009F1E74"/>
    <w:rsid w:val="009F5AF7"/>
    <w:rsid w:val="00A002EF"/>
    <w:rsid w:val="00A00699"/>
    <w:rsid w:val="00A02780"/>
    <w:rsid w:val="00A05AE2"/>
    <w:rsid w:val="00A205F3"/>
    <w:rsid w:val="00A226A5"/>
    <w:rsid w:val="00A2549E"/>
    <w:rsid w:val="00A31E45"/>
    <w:rsid w:val="00A503B3"/>
    <w:rsid w:val="00A5469A"/>
    <w:rsid w:val="00A66BAA"/>
    <w:rsid w:val="00A863ED"/>
    <w:rsid w:val="00A912AB"/>
    <w:rsid w:val="00A9330B"/>
    <w:rsid w:val="00AB61BE"/>
    <w:rsid w:val="00AC6704"/>
    <w:rsid w:val="00AC6D68"/>
    <w:rsid w:val="00AD626B"/>
    <w:rsid w:val="00AE6BC8"/>
    <w:rsid w:val="00AE795B"/>
    <w:rsid w:val="00AF45D6"/>
    <w:rsid w:val="00B00217"/>
    <w:rsid w:val="00B067C2"/>
    <w:rsid w:val="00B17BC7"/>
    <w:rsid w:val="00B2421D"/>
    <w:rsid w:val="00B33AB0"/>
    <w:rsid w:val="00B376D3"/>
    <w:rsid w:val="00B41875"/>
    <w:rsid w:val="00B50D23"/>
    <w:rsid w:val="00B563E7"/>
    <w:rsid w:val="00B6563B"/>
    <w:rsid w:val="00B82E26"/>
    <w:rsid w:val="00B85C1A"/>
    <w:rsid w:val="00B91901"/>
    <w:rsid w:val="00B971C5"/>
    <w:rsid w:val="00BA6413"/>
    <w:rsid w:val="00BC4856"/>
    <w:rsid w:val="00BD35E3"/>
    <w:rsid w:val="00BE1ED2"/>
    <w:rsid w:val="00BE2C05"/>
    <w:rsid w:val="00BE3957"/>
    <w:rsid w:val="00BE7429"/>
    <w:rsid w:val="00BE78D4"/>
    <w:rsid w:val="00BF1CEF"/>
    <w:rsid w:val="00C02E85"/>
    <w:rsid w:val="00C167CC"/>
    <w:rsid w:val="00C237EE"/>
    <w:rsid w:val="00C24109"/>
    <w:rsid w:val="00C320B8"/>
    <w:rsid w:val="00C35BCA"/>
    <w:rsid w:val="00C44127"/>
    <w:rsid w:val="00C44E3F"/>
    <w:rsid w:val="00C61C19"/>
    <w:rsid w:val="00C65585"/>
    <w:rsid w:val="00C66A8E"/>
    <w:rsid w:val="00C805D4"/>
    <w:rsid w:val="00C868E4"/>
    <w:rsid w:val="00C873CB"/>
    <w:rsid w:val="00C87831"/>
    <w:rsid w:val="00CA5252"/>
    <w:rsid w:val="00CB1954"/>
    <w:rsid w:val="00CB6F57"/>
    <w:rsid w:val="00CC0EB9"/>
    <w:rsid w:val="00CC1BE2"/>
    <w:rsid w:val="00CD34CA"/>
    <w:rsid w:val="00CE449B"/>
    <w:rsid w:val="00D040A1"/>
    <w:rsid w:val="00D07351"/>
    <w:rsid w:val="00D1110D"/>
    <w:rsid w:val="00D14783"/>
    <w:rsid w:val="00D22FFD"/>
    <w:rsid w:val="00D23110"/>
    <w:rsid w:val="00D23999"/>
    <w:rsid w:val="00D401B5"/>
    <w:rsid w:val="00D451C1"/>
    <w:rsid w:val="00D52227"/>
    <w:rsid w:val="00D64511"/>
    <w:rsid w:val="00D67809"/>
    <w:rsid w:val="00D715D0"/>
    <w:rsid w:val="00D963D5"/>
    <w:rsid w:val="00DB3303"/>
    <w:rsid w:val="00DC7943"/>
    <w:rsid w:val="00DD5185"/>
    <w:rsid w:val="00DF087D"/>
    <w:rsid w:val="00DF3547"/>
    <w:rsid w:val="00E00DA7"/>
    <w:rsid w:val="00E120A0"/>
    <w:rsid w:val="00E1499E"/>
    <w:rsid w:val="00E224AF"/>
    <w:rsid w:val="00E23018"/>
    <w:rsid w:val="00E465F4"/>
    <w:rsid w:val="00E607F3"/>
    <w:rsid w:val="00E61311"/>
    <w:rsid w:val="00E657FA"/>
    <w:rsid w:val="00E734A3"/>
    <w:rsid w:val="00E917E0"/>
    <w:rsid w:val="00E918DB"/>
    <w:rsid w:val="00E96440"/>
    <w:rsid w:val="00E96A74"/>
    <w:rsid w:val="00EA3EF6"/>
    <w:rsid w:val="00EB2806"/>
    <w:rsid w:val="00F04770"/>
    <w:rsid w:val="00F0575E"/>
    <w:rsid w:val="00F06E08"/>
    <w:rsid w:val="00F2335A"/>
    <w:rsid w:val="00F24C98"/>
    <w:rsid w:val="00F354B9"/>
    <w:rsid w:val="00F576C5"/>
    <w:rsid w:val="00F609CE"/>
    <w:rsid w:val="00F61FC7"/>
    <w:rsid w:val="00F66479"/>
    <w:rsid w:val="00F7640F"/>
    <w:rsid w:val="00FA333F"/>
    <w:rsid w:val="00FA4A6B"/>
    <w:rsid w:val="00FA67A0"/>
    <w:rsid w:val="00FC0CC0"/>
    <w:rsid w:val="00FC1C05"/>
    <w:rsid w:val="00FC3ADF"/>
    <w:rsid w:val="00FC7535"/>
    <w:rsid w:val="00FC78FF"/>
    <w:rsid w:val="00FE4835"/>
    <w:rsid w:val="00FE58FF"/>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C0743"/>
  <w15:chartTrackingRefBased/>
  <w15:docId w15:val="{B55035CF-29C4-4D75-89B2-ECA89F6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9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hod">
    <w:name w:val="Method"/>
    <w:basedOn w:val="Normal"/>
    <w:rsid w:val="00F609CE"/>
    <w:pPr>
      <w:tabs>
        <w:tab w:val="left" w:pos="2160"/>
      </w:tabs>
      <w:spacing w:after="240"/>
    </w:pPr>
    <w:rPr>
      <w:rFonts w:ascii="Arial" w:hAnsi="Arial"/>
      <w:sz w:val="22"/>
      <w:szCs w:val="20"/>
    </w:rPr>
  </w:style>
  <w:style w:type="paragraph" w:customStyle="1" w:styleId="Analyte">
    <w:name w:val="Analyte"/>
    <w:basedOn w:val="Method"/>
    <w:rsid w:val="00F609CE"/>
    <w:pPr>
      <w:pBdr>
        <w:bottom w:val="single" w:sz="12" w:space="12" w:color="auto"/>
      </w:pBdr>
    </w:pPr>
  </w:style>
  <w:style w:type="paragraph" w:customStyle="1" w:styleId="10SOP">
    <w:name w:val="1.0 (SOP)"/>
    <w:basedOn w:val="Normal"/>
    <w:rsid w:val="00F609CE"/>
    <w:pPr>
      <w:keepNext/>
      <w:numPr>
        <w:numId w:val="1"/>
      </w:numPr>
      <w:tabs>
        <w:tab w:val="clear" w:pos="8460"/>
        <w:tab w:val="num" w:pos="720"/>
      </w:tabs>
      <w:spacing w:after="240"/>
      <w:ind w:left="720"/>
      <w:outlineLvl w:val="0"/>
    </w:pPr>
    <w:rPr>
      <w:rFonts w:ascii="Arial" w:hAnsi="Arial"/>
      <w:b/>
      <w:sz w:val="22"/>
      <w:szCs w:val="20"/>
    </w:rPr>
  </w:style>
  <w:style w:type="paragraph" w:customStyle="1" w:styleId="11SOP">
    <w:name w:val="1.1 (SOP)"/>
    <w:basedOn w:val="Normal"/>
    <w:rsid w:val="00F609CE"/>
    <w:pPr>
      <w:numPr>
        <w:ilvl w:val="1"/>
        <w:numId w:val="1"/>
      </w:numPr>
      <w:tabs>
        <w:tab w:val="clear" w:pos="2070"/>
        <w:tab w:val="num" w:pos="1440"/>
      </w:tabs>
      <w:spacing w:after="240"/>
      <w:ind w:left="1440"/>
      <w:outlineLvl w:val="1"/>
    </w:pPr>
    <w:rPr>
      <w:rFonts w:ascii="Arial" w:hAnsi="Arial"/>
      <w:sz w:val="22"/>
      <w:szCs w:val="20"/>
    </w:rPr>
  </w:style>
  <w:style w:type="paragraph" w:customStyle="1" w:styleId="111SOP">
    <w:name w:val="1.1.1 (SOP)"/>
    <w:basedOn w:val="Normal"/>
    <w:rsid w:val="00F609CE"/>
    <w:pPr>
      <w:numPr>
        <w:ilvl w:val="2"/>
        <w:numId w:val="1"/>
      </w:numPr>
      <w:spacing w:after="240"/>
      <w:outlineLvl w:val="2"/>
    </w:pPr>
    <w:rPr>
      <w:rFonts w:ascii="Arial" w:hAnsi="Arial"/>
      <w:sz w:val="22"/>
      <w:szCs w:val="20"/>
    </w:rPr>
  </w:style>
  <w:style w:type="paragraph" w:customStyle="1" w:styleId="1111SOP">
    <w:name w:val="1.1.1.1 (SOP)"/>
    <w:basedOn w:val="Normal"/>
    <w:rsid w:val="00F609CE"/>
    <w:pPr>
      <w:numPr>
        <w:ilvl w:val="3"/>
        <w:numId w:val="1"/>
      </w:numPr>
      <w:spacing w:after="240"/>
      <w:outlineLvl w:val="3"/>
    </w:pPr>
    <w:rPr>
      <w:rFonts w:ascii="Arial" w:hAnsi="Arial"/>
      <w:sz w:val="22"/>
      <w:szCs w:val="20"/>
    </w:rPr>
  </w:style>
  <w:style w:type="paragraph" w:customStyle="1" w:styleId="Calcsunder11">
    <w:name w:val="Calcs (under 1.1)"/>
    <w:basedOn w:val="Normal"/>
    <w:rsid w:val="00F609CE"/>
    <w:pPr>
      <w:tabs>
        <w:tab w:val="left" w:pos="2160"/>
        <w:tab w:val="center" w:pos="4680"/>
      </w:tabs>
      <w:ind w:left="1440"/>
    </w:pPr>
    <w:rPr>
      <w:rFonts w:ascii="Arial" w:hAnsi="Arial"/>
      <w:sz w:val="20"/>
      <w:szCs w:val="20"/>
    </w:rPr>
  </w:style>
  <w:style w:type="paragraph" w:customStyle="1" w:styleId="11111SOP">
    <w:name w:val="1.1.1.1.1 (SOP)"/>
    <w:basedOn w:val="Normal"/>
    <w:rsid w:val="00F609CE"/>
    <w:pPr>
      <w:numPr>
        <w:ilvl w:val="4"/>
        <w:numId w:val="1"/>
      </w:numPr>
      <w:spacing w:after="240"/>
      <w:outlineLvl w:val="4"/>
    </w:pPr>
    <w:rPr>
      <w:rFonts w:ascii="Arial" w:hAnsi="Arial"/>
      <w:sz w:val="22"/>
      <w:szCs w:val="20"/>
    </w:rPr>
  </w:style>
  <w:style w:type="paragraph" w:styleId="BodyTextIndent">
    <w:name w:val="Body Text Indent"/>
    <w:basedOn w:val="Normal"/>
    <w:rsid w:val="00F609CE"/>
    <w:pPr>
      <w:ind w:left="720"/>
    </w:pPr>
    <w:rPr>
      <w:rFonts w:ascii="Arial" w:hAnsi="Arial"/>
      <w:sz w:val="22"/>
      <w:szCs w:val="20"/>
    </w:rPr>
  </w:style>
  <w:style w:type="paragraph" w:customStyle="1" w:styleId="Title-Method">
    <w:name w:val="Title-Method"/>
    <w:basedOn w:val="Method"/>
    <w:rsid w:val="00F609CE"/>
    <w:rPr>
      <w:bCs/>
    </w:rPr>
  </w:style>
  <w:style w:type="paragraph" w:styleId="Header">
    <w:name w:val="header"/>
    <w:basedOn w:val="Normal"/>
    <w:link w:val="HeaderChar"/>
    <w:uiPriority w:val="99"/>
    <w:rsid w:val="00F609CE"/>
    <w:pPr>
      <w:tabs>
        <w:tab w:val="center" w:pos="4320"/>
        <w:tab w:val="right" w:pos="8640"/>
      </w:tabs>
    </w:pPr>
  </w:style>
  <w:style w:type="paragraph" w:styleId="Footer">
    <w:name w:val="footer"/>
    <w:basedOn w:val="Normal"/>
    <w:link w:val="FooterChar"/>
    <w:uiPriority w:val="99"/>
    <w:rsid w:val="00F609CE"/>
    <w:pPr>
      <w:tabs>
        <w:tab w:val="center" w:pos="4320"/>
        <w:tab w:val="right" w:pos="8640"/>
      </w:tabs>
    </w:pPr>
  </w:style>
  <w:style w:type="table" w:styleId="TableGrid">
    <w:name w:val="Table Grid"/>
    <w:basedOn w:val="TableNormal"/>
    <w:uiPriority w:val="59"/>
    <w:rsid w:val="0094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0B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43E6D"/>
    <w:rPr>
      <w:rFonts w:ascii="Segoe UI" w:hAnsi="Segoe UI" w:cs="Segoe UI"/>
      <w:sz w:val="18"/>
      <w:szCs w:val="18"/>
    </w:rPr>
  </w:style>
  <w:style w:type="character" w:customStyle="1" w:styleId="BalloonTextChar">
    <w:name w:val="Balloon Text Char"/>
    <w:basedOn w:val="DefaultParagraphFont"/>
    <w:link w:val="BalloonText"/>
    <w:rsid w:val="00043E6D"/>
    <w:rPr>
      <w:rFonts w:ascii="Segoe UI" w:hAnsi="Segoe UI" w:cs="Segoe UI"/>
      <w:sz w:val="18"/>
      <w:szCs w:val="18"/>
    </w:rPr>
  </w:style>
  <w:style w:type="character" w:customStyle="1" w:styleId="FooterChar">
    <w:name w:val="Footer Char"/>
    <w:basedOn w:val="DefaultParagraphFont"/>
    <w:link w:val="Footer"/>
    <w:uiPriority w:val="99"/>
    <w:rsid w:val="001671DA"/>
    <w:rPr>
      <w:sz w:val="24"/>
      <w:szCs w:val="24"/>
    </w:rPr>
  </w:style>
  <w:style w:type="character" w:styleId="PlaceholderText">
    <w:name w:val="Placeholder Text"/>
    <w:basedOn w:val="DefaultParagraphFont"/>
    <w:uiPriority w:val="99"/>
    <w:semiHidden/>
    <w:rsid w:val="00556451"/>
    <w:rPr>
      <w:color w:val="808080"/>
    </w:rPr>
  </w:style>
  <w:style w:type="character" w:styleId="Hyperlink">
    <w:name w:val="Hyperlink"/>
    <w:basedOn w:val="DefaultParagraphFont"/>
    <w:rsid w:val="00690C9F"/>
    <w:rPr>
      <w:color w:val="0563C1" w:themeColor="hyperlink"/>
      <w:u w:val="single"/>
    </w:rPr>
  </w:style>
  <w:style w:type="character" w:styleId="UnresolvedMention">
    <w:name w:val="Unresolved Mention"/>
    <w:basedOn w:val="DefaultParagraphFont"/>
    <w:uiPriority w:val="99"/>
    <w:semiHidden/>
    <w:unhideWhenUsed/>
    <w:rsid w:val="00690C9F"/>
    <w:rPr>
      <w:color w:val="808080"/>
      <w:shd w:val="clear" w:color="auto" w:fill="E6E6E6"/>
    </w:rPr>
  </w:style>
  <w:style w:type="character" w:customStyle="1" w:styleId="HeaderChar">
    <w:name w:val="Header Char"/>
    <w:basedOn w:val="DefaultParagraphFont"/>
    <w:link w:val="Header"/>
    <w:uiPriority w:val="99"/>
    <w:rsid w:val="00806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8694-935C-412B-AE7E-5D041536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8</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Village of Twin Lakes Wastewater Treatment Plant Laboratory</vt:lpstr>
    </vt:vector>
  </TitlesOfParts>
  <Company>Village of Twin Lakes</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Twin Lakes Wastewater Treatment Plant Laboratory</dc:title>
  <dc:subject/>
  <dc:creator>WWTF</dc:creator>
  <cp:keywords/>
  <cp:lastModifiedBy>Farrell, Autumn R - DNR</cp:lastModifiedBy>
  <cp:revision>36</cp:revision>
  <dcterms:created xsi:type="dcterms:W3CDTF">2018-07-18T14:48:00Z</dcterms:created>
  <dcterms:modified xsi:type="dcterms:W3CDTF">2021-09-24T19:51:00Z</dcterms:modified>
</cp:coreProperties>
</file>